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02C21" w14:textId="77777777" w:rsidR="00203382" w:rsidRPr="00AE6BB1" w:rsidRDefault="00203382" w:rsidP="00AE6BB1">
      <w:pPr>
        <w:rPr>
          <w:rFonts w:ascii="Aptos" w:hAnsi="Aptos"/>
          <w:b/>
          <w:bCs/>
          <w:lang w:eastAsia="en-GB"/>
        </w:rPr>
      </w:pPr>
      <w:r w:rsidRPr="00AE6BB1">
        <w:rPr>
          <w:rFonts w:ascii="Aptos" w:hAnsi="Aptos"/>
          <w:b/>
          <w:bCs/>
        </w:rPr>
        <w:t>Collated Findings and Thematic Analysis</w:t>
      </w:r>
    </w:p>
    <w:p w14:paraId="0CCE3234" w14:textId="77777777" w:rsidR="00203382" w:rsidRPr="00AE6BB1" w:rsidRDefault="00203382" w:rsidP="00AE6BB1">
      <w:pPr>
        <w:rPr>
          <w:rFonts w:ascii="Aptos" w:hAnsi="Aptos"/>
          <w:lang w:eastAsia="en-GB"/>
        </w:rPr>
      </w:pPr>
      <w:r w:rsidRPr="00AE6BB1">
        <w:rPr>
          <w:rFonts w:ascii="Aptos" w:hAnsi="Aptos"/>
        </w:rPr>
        <w:t>This section draws together the feedback from the four workshop discussions. It identifies common themes across table responses, highlights areas of broad consensus, sets out key conclusions and recommendations, and notes issues that require further clarification before the VCSE Anchor model can be finalised and implemented.</w:t>
      </w:r>
    </w:p>
    <w:p w14:paraId="061C1936" w14:textId="77777777" w:rsidR="00203382" w:rsidRPr="00AE6BB1" w:rsidRDefault="00203382" w:rsidP="00AE6BB1">
      <w:pPr>
        <w:rPr>
          <w:rFonts w:ascii="Aptos" w:hAnsi="Aptos"/>
          <w:b/>
          <w:bCs/>
          <w:u w:val="single"/>
          <w:lang w:eastAsia="en-GB"/>
        </w:rPr>
      </w:pPr>
      <w:r w:rsidRPr="00AE6BB1">
        <w:rPr>
          <w:rFonts w:ascii="Aptos" w:hAnsi="Aptos"/>
          <w:b/>
          <w:bCs/>
          <w:u w:val="single"/>
        </w:rPr>
        <w:t>Discussion 1: Role and value of the VCSE Anchor</w:t>
      </w:r>
    </w:p>
    <w:p w14:paraId="3ECEE912" w14:textId="77777777" w:rsidR="00203382" w:rsidRPr="00AE6BB1" w:rsidRDefault="00203382" w:rsidP="00AE6BB1">
      <w:pPr>
        <w:rPr>
          <w:rFonts w:ascii="Aptos" w:hAnsi="Aptos"/>
          <w:lang w:eastAsia="en-GB"/>
        </w:rPr>
      </w:pPr>
      <w:r w:rsidRPr="00AE6BB1">
        <w:rPr>
          <w:rFonts w:ascii="Aptos" w:hAnsi="Aptos"/>
          <w:b/>
          <w:bCs/>
        </w:rPr>
        <w:t>Common themes:</w:t>
      </w:r>
      <w:r w:rsidRPr="00AE6BB1">
        <w:rPr>
          <w:rFonts w:ascii="Aptos" w:hAnsi="Aptos"/>
        </w:rPr>
        <w:t xml:space="preserve"> Responses showed broad support for the principle of a VCSE Anchor </w:t>
      </w:r>
      <w:proofErr w:type="gramStart"/>
      <w:r w:rsidRPr="00AE6BB1">
        <w:rPr>
          <w:rFonts w:ascii="Aptos" w:hAnsi="Aptos"/>
        </w:rPr>
        <w:t>role, but</w:t>
      </w:r>
      <w:proofErr w:type="gramEnd"/>
      <w:r w:rsidRPr="00AE6BB1">
        <w:rPr>
          <w:rFonts w:ascii="Aptos" w:hAnsi="Aptos"/>
        </w:rPr>
        <w:t xml:space="preserve"> consistently questioned whether the role could be delivered by one organisation or one individual. Participants emphasised that the anchor must be networked, place-based, trusted and accountable to the wider VCSE sector rather than acting as a single organisational representative. There was repeated concern about the breadth of the role, the capacity required, the need for transparent selection, the risk of gatekeeping, and the importance of local legitimacy. The responses also highlighted that the model must recognise regional variation, rural and urban differences, and existing community assets.</w:t>
      </w:r>
    </w:p>
    <w:p w14:paraId="49EC6563" w14:textId="77777777" w:rsidR="00203382" w:rsidRPr="00AE6BB1" w:rsidRDefault="00203382" w:rsidP="00AE6BB1">
      <w:pPr>
        <w:rPr>
          <w:rFonts w:ascii="Aptos" w:hAnsi="Aptos"/>
          <w:lang w:eastAsia="en-GB"/>
        </w:rPr>
      </w:pPr>
      <w:r w:rsidRPr="00AE6BB1">
        <w:rPr>
          <w:rFonts w:ascii="Aptos" w:hAnsi="Aptos"/>
          <w:b/>
          <w:bCs/>
        </w:rPr>
        <w:t>Consensus:</w:t>
      </w:r>
      <w:r w:rsidRPr="00AE6BB1">
        <w:rPr>
          <w:rFonts w:ascii="Aptos" w:hAnsi="Aptos"/>
        </w:rPr>
        <w:t xml:space="preserve"> There was clear consensus that the VCSE Anchor role has value if it strengthens the voice, intelligence and contribution of the wider sector within Integrated Neighbourhood Teams. There was also strong agreement that the role should not be top-down, should not create competition between VCSE organisations, and should be grounded in trust, transparency, community buy-in and democratic or collaborative selection processes. Participants agreed that the role requires clarity, support and accountability before implementation.</w:t>
      </w:r>
    </w:p>
    <w:p w14:paraId="1697333E" w14:textId="77777777" w:rsidR="00203382" w:rsidRPr="00AE6BB1" w:rsidRDefault="00203382" w:rsidP="00AE6BB1">
      <w:pPr>
        <w:rPr>
          <w:rFonts w:ascii="Aptos" w:hAnsi="Aptos"/>
          <w:lang w:eastAsia="en-GB"/>
        </w:rPr>
      </w:pPr>
      <w:r w:rsidRPr="00AE6BB1">
        <w:rPr>
          <w:rFonts w:ascii="Aptos" w:hAnsi="Aptos"/>
          <w:b/>
          <w:bCs/>
        </w:rPr>
        <w:t>Conclusion:</w:t>
      </w:r>
      <w:r w:rsidRPr="00AE6BB1">
        <w:rPr>
          <w:rFonts w:ascii="Aptos" w:hAnsi="Aptos"/>
        </w:rPr>
        <w:t xml:space="preserve"> The VCSE Anchor role is broadly welcomed as a mechanism for ensuring VCSE expertise, community intelligence and preventative approaches are embedded in neighbourhood health development. However, the feedback suggests the current description risks underestimating the complexity, leadership demands and practical capacity required. The role should be framed as a networked and facilitative function rather than a single organisational mandate.</w:t>
      </w:r>
    </w:p>
    <w:p w14:paraId="2498EB3B" w14:textId="77777777" w:rsidR="00203382" w:rsidRPr="00AE6BB1" w:rsidRDefault="00203382" w:rsidP="00AE6BB1">
      <w:pPr>
        <w:rPr>
          <w:rFonts w:ascii="Aptos" w:hAnsi="Aptos"/>
          <w:lang w:eastAsia="en-GB"/>
        </w:rPr>
      </w:pPr>
      <w:r w:rsidRPr="00AE6BB1">
        <w:rPr>
          <w:rFonts w:ascii="Aptos" w:hAnsi="Aptos"/>
          <w:b/>
          <w:bCs/>
        </w:rPr>
        <w:t>Recommendations:</w:t>
      </w:r>
      <w:r w:rsidRPr="00AE6BB1">
        <w:rPr>
          <w:rFonts w:ascii="Aptos" w:hAnsi="Aptos"/>
        </w:rPr>
        <w:t xml:space="preserve"> Develop a clear role description and person specification; establish transparent local selection and accountability arrangements; require evidence of local legitimacy and wider sector support; build in review and learning mechanisms from the outset; and ensure the role is resourced to reflect its strategic, convening and representative responsibilities.</w:t>
      </w:r>
    </w:p>
    <w:p w14:paraId="270CDA58" w14:textId="77777777" w:rsidR="00203382" w:rsidRPr="00AE6BB1" w:rsidRDefault="00203382" w:rsidP="00AE6BB1">
      <w:pPr>
        <w:rPr>
          <w:rFonts w:ascii="Aptos" w:hAnsi="Aptos"/>
          <w:lang w:eastAsia="en-GB"/>
        </w:rPr>
      </w:pPr>
      <w:r w:rsidRPr="00AE6BB1">
        <w:rPr>
          <w:rFonts w:ascii="Aptos" w:hAnsi="Aptos"/>
          <w:b/>
          <w:bCs/>
        </w:rPr>
        <w:t>Areas requiring clarification:</w:t>
      </w:r>
      <w:r w:rsidRPr="00AE6BB1">
        <w:rPr>
          <w:rFonts w:ascii="Aptos" w:hAnsi="Aptos"/>
        </w:rPr>
        <w:t xml:space="preserve"> Whether the anchor is a person, organisation or networked function; whether the role is strategic, operational or both; the expected time commitment; whether one day per week is sufficient; how conflicts of interest will be </w:t>
      </w:r>
      <w:r w:rsidRPr="00AE6BB1">
        <w:rPr>
          <w:rFonts w:ascii="Aptos" w:hAnsi="Aptos"/>
        </w:rPr>
        <w:lastRenderedPageBreak/>
        <w:t>managed; how the anchor will be accountable to the wider VCSE; and how the role will adapt if the clinical focus moves beyond frailty.</w:t>
      </w:r>
    </w:p>
    <w:p w14:paraId="519BED26" w14:textId="77777777" w:rsidR="00203382" w:rsidRPr="00AE6BB1" w:rsidRDefault="00203382" w:rsidP="00AE6BB1">
      <w:pPr>
        <w:rPr>
          <w:rFonts w:ascii="Aptos" w:hAnsi="Aptos"/>
          <w:b/>
          <w:bCs/>
          <w:u w:val="single"/>
          <w:lang w:eastAsia="en-GB"/>
        </w:rPr>
      </w:pPr>
      <w:r w:rsidRPr="00AE6BB1">
        <w:rPr>
          <w:rFonts w:ascii="Aptos" w:hAnsi="Aptos"/>
          <w:b/>
          <w:bCs/>
          <w:u w:val="single"/>
        </w:rPr>
        <w:t>Discussion 2: Preferred model for the VCSE Anchor approach</w:t>
      </w:r>
    </w:p>
    <w:p w14:paraId="7FFD255C" w14:textId="77777777" w:rsidR="00203382" w:rsidRPr="00AE6BB1" w:rsidRDefault="00203382" w:rsidP="00AE6BB1">
      <w:pPr>
        <w:rPr>
          <w:rFonts w:ascii="Aptos" w:hAnsi="Aptos"/>
          <w:lang w:eastAsia="en-GB"/>
        </w:rPr>
      </w:pPr>
      <w:r w:rsidRPr="00AE6BB1">
        <w:rPr>
          <w:rFonts w:ascii="Aptos" w:hAnsi="Aptos"/>
          <w:b/>
          <w:bCs/>
        </w:rPr>
        <w:t>Common themes:</w:t>
      </w:r>
      <w:r w:rsidRPr="00AE6BB1">
        <w:rPr>
          <w:rFonts w:ascii="Aptos" w:hAnsi="Aptos"/>
        </w:rPr>
        <w:t xml:space="preserve"> The strongest theme was rejection of a single-organisation model. Participants consistently favoured a flexible, place-based approach that can reflect different local geographies, levels of VCSE infrastructure, rural and urban contexts, and existing relationships. Responses suggested a preference for a networked anchor model, often blended with a hybrid place/population approach. There was also a strong emphasis on building on existing networks and avoiding new structures that duplicate or override local arrangements.</w:t>
      </w:r>
    </w:p>
    <w:p w14:paraId="0757A512" w14:textId="77777777" w:rsidR="00203382" w:rsidRPr="00AE6BB1" w:rsidRDefault="00203382" w:rsidP="00AE6BB1">
      <w:pPr>
        <w:rPr>
          <w:rFonts w:ascii="Aptos" w:hAnsi="Aptos"/>
          <w:lang w:eastAsia="en-GB"/>
        </w:rPr>
      </w:pPr>
      <w:r w:rsidRPr="00AE6BB1">
        <w:rPr>
          <w:rFonts w:ascii="Aptos" w:hAnsi="Aptos"/>
          <w:b/>
          <w:bCs/>
        </w:rPr>
        <w:t>Consensus:</w:t>
      </w:r>
      <w:r w:rsidRPr="00AE6BB1">
        <w:rPr>
          <w:rFonts w:ascii="Aptos" w:hAnsi="Aptos"/>
        </w:rPr>
        <w:t xml:space="preserve"> There was broad agreement that each area should have flexibility to shape the model locally, provided there is a clear framework for accountability, role clarity, shared learning and minimum expectations. Voting responses reinforced this: the single organisation model received no support, while the networked anchor model and a blend of networked and hybrid approaches attracted the strongest support.</w:t>
      </w:r>
    </w:p>
    <w:p w14:paraId="14A5912B" w14:textId="77777777" w:rsidR="00203382" w:rsidRPr="00AE6BB1" w:rsidRDefault="00203382" w:rsidP="00AE6BB1">
      <w:pPr>
        <w:rPr>
          <w:rFonts w:ascii="Aptos" w:hAnsi="Aptos"/>
          <w:lang w:eastAsia="en-GB"/>
        </w:rPr>
      </w:pPr>
      <w:r w:rsidRPr="00AE6BB1">
        <w:rPr>
          <w:rFonts w:ascii="Aptos" w:hAnsi="Aptos"/>
          <w:b/>
          <w:bCs/>
        </w:rPr>
        <w:t>Conclusion:</w:t>
      </w:r>
      <w:r w:rsidRPr="00AE6BB1">
        <w:rPr>
          <w:rFonts w:ascii="Aptos" w:hAnsi="Aptos"/>
        </w:rPr>
        <w:t xml:space="preserve"> The preferred direction is not a uniform model, but a flexible networked/hybrid approach that allows local adaptation within an agreed set of principles. The model should enable local VCSE partners to decide how best to organise representation and connection, while ensuring consistency in governance, expectations, learning and accountability across all INT areas.</w:t>
      </w:r>
    </w:p>
    <w:p w14:paraId="65CD1A71" w14:textId="77777777" w:rsidR="00203382" w:rsidRPr="00AE6BB1" w:rsidRDefault="00203382" w:rsidP="00AE6BB1">
      <w:pPr>
        <w:rPr>
          <w:rFonts w:ascii="Aptos" w:hAnsi="Aptos"/>
          <w:lang w:eastAsia="en-GB"/>
        </w:rPr>
      </w:pPr>
      <w:r w:rsidRPr="00AE6BB1">
        <w:rPr>
          <w:rFonts w:ascii="Aptos" w:hAnsi="Aptos"/>
          <w:b/>
          <w:bCs/>
        </w:rPr>
        <w:t>Recommendations:</w:t>
      </w:r>
      <w:r w:rsidRPr="00AE6BB1">
        <w:rPr>
          <w:rFonts w:ascii="Aptos" w:hAnsi="Aptos"/>
        </w:rPr>
        <w:t xml:space="preserve"> Remove the single-organisation model as a preferred option; develop a blended networked/hybrid model as the basis for further design; undertake mapping of existing VCSE infrastructure in each INT area; allow local areas to use existing community planning, AIPB, partnership or VCSE network structures where appropriate; and create a common framework covering governance, role expectations, information flow and learning across the 17 INTs.</w:t>
      </w:r>
    </w:p>
    <w:p w14:paraId="5C3E5E5A" w14:textId="77777777" w:rsidR="00203382" w:rsidRPr="00AE6BB1" w:rsidRDefault="00203382" w:rsidP="00AE6BB1">
      <w:pPr>
        <w:rPr>
          <w:rFonts w:ascii="Aptos" w:hAnsi="Aptos"/>
          <w:lang w:eastAsia="en-GB"/>
        </w:rPr>
      </w:pPr>
      <w:r w:rsidRPr="00AE6BB1">
        <w:rPr>
          <w:rFonts w:ascii="Aptos" w:hAnsi="Aptos"/>
          <w:b/>
          <w:bCs/>
        </w:rPr>
        <w:t>Areas requiring clarification:</w:t>
      </w:r>
      <w:r w:rsidRPr="00AE6BB1">
        <w:rPr>
          <w:rFonts w:ascii="Aptos" w:hAnsi="Aptos"/>
        </w:rPr>
        <w:t xml:space="preserve"> What is meant by “place-based” in practice; whether the geography is Trust, GP Federation, INT, council or community planning area; how much variation between the 17 areas is acceptable; how equity will be maintained if areas adopt different structures; who supports areas with weaker VCSE infrastructure; and whether a consortium model may be needed as an interim arrangement in some places.</w:t>
      </w:r>
    </w:p>
    <w:p w14:paraId="64ADBBC8" w14:textId="77777777" w:rsidR="00203382" w:rsidRPr="00AE6BB1" w:rsidRDefault="00203382" w:rsidP="00AE6BB1">
      <w:pPr>
        <w:rPr>
          <w:rFonts w:ascii="Aptos" w:hAnsi="Aptos"/>
          <w:b/>
          <w:bCs/>
          <w:u w:val="single"/>
          <w:lang w:eastAsia="en-GB"/>
        </w:rPr>
      </w:pPr>
      <w:r w:rsidRPr="00AE6BB1">
        <w:rPr>
          <w:rFonts w:ascii="Aptos" w:hAnsi="Aptos"/>
          <w:b/>
          <w:bCs/>
          <w:u w:val="single"/>
        </w:rPr>
        <w:t>Discussion 3: Connecting with local networks, specialist expertise and wider sector voices</w:t>
      </w:r>
    </w:p>
    <w:p w14:paraId="322D4473" w14:textId="0F8733A4" w:rsidR="00203382" w:rsidRPr="00AE6BB1" w:rsidRDefault="00203382" w:rsidP="00AE6BB1">
      <w:pPr>
        <w:rPr>
          <w:rFonts w:ascii="Aptos" w:hAnsi="Aptos"/>
          <w:lang w:eastAsia="en-GB"/>
        </w:rPr>
      </w:pPr>
      <w:r w:rsidRPr="00AE6BB1">
        <w:rPr>
          <w:rFonts w:ascii="Aptos" w:hAnsi="Aptos"/>
          <w:b/>
          <w:bCs/>
        </w:rPr>
        <w:t>Common themes:</w:t>
      </w:r>
      <w:r w:rsidRPr="00AE6BB1">
        <w:rPr>
          <w:rFonts w:ascii="Aptos" w:hAnsi="Aptos"/>
        </w:rPr>
        <w:t xml:space="preserve"> Participants strongly emphasised that anchors must connect with existing local area networks, regional networks, specialist condition-specific organisations, smaller community organisations and lived experience voices. Feedback </w:t>
      </w:r>
      <w:r w:rsidRPr="00AE6BB1">
        <w:rPr>
          <w:rFonts w:ascii="Aptos" w:hAnsi="Aptos"/>
        </w:rPr>
        <w:lastRenderedPageBreak/>
        <w:t xml:space="preserve">highlighted the importance of two-way communication, feedback loops, community development, social prescribing, local innovation and prevention. There was concern that connection work could become overwhelming without clear purpose, capacity and coordination. Participants also identified the potential role of NIHC </w:t>
      </w:r>
      <w:r w:rsidR="0069346D">
        <w:rPr>
          <w:rFonts w:ascii="Aptos" w:hAnsi="Aptos"/>
        </w:rPr>
        <w:t>working with other regional network could</w:t>
      </w:r>
      <w:r w:rsidRPr="00AE6BB1">
        <w:rPr>
          <w:rFonts w:ascii="Aptos" w:hAnsi="Aptos"/>
        </w:rPr>
        <w:t xml:space="preserve"> provid</w:t>
      </w:r>
      <w:r w:rsidR="0069346D">
        <w:rPr>
          <w:rFonts w:ascii="Aptos" w:hAnsi="Aptos"/>
        </w:rPr>
        <w:t>e</w:t>
      </w:r>
      <w:r w:rsidRPr="00AE6BB1">
        <w:rPr>
          <w:rFonts w:ascii="Aptos" w:hAnsi="Aptos"/>
        </w:rPr>
        <w:t xml:space="preserve"> a “network of networks”, peer learning and shared messages across INT areas.</w:t>
      </w:r>
    </w:p>
    <w:p w14:paraId="109A65B5" w14:textId="77777777" w:rsidR="00203382" w:rsidRPr="00AE6BB1" w:rsidRDefault="00203382" w:rsidP="00AE6BB1">
      <w:pPr>
        <w:rPr>
          <w:rFonts w:ascii="Aptos" w:hAnsi="Aptos"/>
          <w:lang w:eastAsia="en-GB"/>
        </w:rPr>
      </w:pPr>
      <w:r w:rsidRPr="00AE6BB1">
        <w:rPr>
          <w:rFonts w:ascii="Aptos" w:hAnsi="Aptos"/>
          <w:b/>
          <w:bCs/>
        </w:rPr>
        <w:t>Consensus:</w:t>
      </w:r>
      <w:r w:rsidRPr="00AE6BB1">
        <w:rPr>
          <w:rFonts w:ascii="Aptos" w:hAnsi="Aptos"/>
        </w:rPr>
        <w:t xml:space="preserve"> There was strong agreement that anchors cannot operate in isolation and must be supported by formal and informal networks. Participants agreed that local connections should be built from what already exists, that specialist expertise should be brought in when needed, and that smaller organisations must have clear and accessible routes to contribute. There was also agreement that information must flow both ways: from VCSE organisations into INT decision-making and from INTs back into communities and sector networks.</w:t>
      </w:r>
    </w:p>
    <w:p w14:paraId="269AE723" w14:textId="77777777" w:rsidR="00203382" w:rsidRPr="00AE6BB1" w:rsidRDefault="00203382" w:rsidP="00AE6BB1">
      <w:pPr>
        <w:rPr>
          <w:rFonts w:ascii="Aptos" w:hAnsi="Aptos"/>
          <w:lang w:eastAsia="en-GB"/>
        </w:rPr>
      </w:pPr>
      <w:r w:rsidRPr="00AE6BB1">
        <w:rPr>
          <w:rFonts w:ascii="Aptos" w:hAnsi="Aptos"/>
          <w:b/>
          <w:bCs/>
        </w:rPr>
        <w:t>Conclusion:</w:t>
      </w:r>
      <w:r w:rsidRPr="00AE6BB1">
        <w:rPr>
          <w:rFonts w:ascii="Aptos" w:hAnsi="Aptos"/>
        </w:rPr>
        <w:t xml:space="preserve"> Effective connection is central to the success of the anchor model. The role should therefore be designed around convening, listening, translating, feeding back and drawing in expertise, rather than simply attending INT meetings. A structured support infrastructure will be needed to avoid duplication, manage expectations and ensure that VCSE intelligence is actively used to shape responses to unmet need.</w:t>
      </w:r>
    </w:p>
    <w:p w14:paraId="576C4850" w14:textId="1DAD3975" w:rsidR="00203382" w:rsidRPr="00AE6BB1" w:rsidRDefault="00203382" w:rsidP="00AE6BB1">
      <w:pPr>
        <w:rPr>
          <w:rFonts w:ascii="Aptos" w:hAnsi="Aptos"/>
          <w:lang w:eastAsia="en-GB"/>
        </w:rPr>
      </w:pPr>
      <w:r w:rsidRPr="00AE6BB1">
        <w:rPr>
          <w:rFonts w:ascii="Aptos" w:hAnsi="Aptos"/>
          <w:b/>
          <w:bCs/>
        </w:rPr>
        <w:t>Recommendations:</w:t>
      </w:r>
      <w:r w:rsidRPr="00AE6BB1">
        <w:rPr>
          <w:rFonts w:ascii="Aptos" w:hAnsi="Aptos"/>
        </w:rPr>
        <w:t xml:space="preserve"> Establish clear two-way feedback mechanisms between anchors, local VCSE networks and INTs; map local services, networks and specialist expertise in each area; develop a shared directory or intelligence resource that builds on existing VCSE directories; create anchor-to-anchor peer support and shared learning across all INTs; define how NIHC, AIPBs </w:t>
      </w:r>
      <w:r w:rsidR="0069346D">
        <w:rPr>
          <w:rFonts w:ascii="Aptos" w:hAnsi="Aptos"/>
        </w:rPr>
        <w:t xml:space="preserve"> working with other </w:t>
      </w:r>
      <w:r w:rsidRPr="00AE6BB1">
        <w:rPr>
          <w:rFonts w:ascii="Aptos" w:hAnsi="Aptos"/>
        </w:rPr>
        <w:t>VCSE structures can support coordination; and include prevention, early intervention, health literacy and social prescribing within the anchor model.</w:t>
      </w:r>
    </w:p>
    <w:p w14:paraId="7D9BA2B5" w14:textId="77777777" w:rsidR="00203382" w:rsidRPr="00AE6BB1" w:rsidRDefault="00203382" w:rsidP="00AE6BB1">
      <w:pPr>
        <w:rPr>
          <w:rFonts w:ascii="Aptos" w:hAnsi="Aptos"/>
          <w:lang w:eastAsia="en-GB"/>
        </w:rPr>
      </w:pPr>
      <w:r w:rsidRPr="00AE6BB1">
        <w:rPr>
          <w:rFonts w:ascii="Aptos" w:hAnsi="Aptos"/>
          <w:b/>
          <w:bCs/>
        </w:rPr>
        <w:t>Areas requiring clarification:</w:t>
      </w:r>
      <w:r w:rsidRPr="00AE6BB1">
        <w:rPr>
          <w:rFonts w:ascii="Aptos" w:hAnsi="Aptos"/>
        </w:rPr>
        <w:t xml:space="preserve"> How anchors will make decisions on behalf of, or with, wider VCSE networks; what level of mandate is required; how smaller organisations will be supported to engage; who will maintain service mapping or directories; whether NIHC or another body should provide central coordination; how data protection, safeguarding and referral expectations will be managed without overburdening the sector; and how duplication across existing structures will be avoided.</w:t>
      </w:r>
    </w:p>
    <w:p w14:paraId="6D5746D9" w14:textId="77777777" w:rsidR="00203382" w:rsidRPr="00AE6BB1" w:rsidRDefault="00203382" w:rsidP="00AE6BB1">
      <w:pPr>
        <w:rPr>
          <w:rFonts w:ascii="Aptos" w:hAnsi="Aptos"/>
          <w:b/>
          <w:bCs/>
          <w:u w:val="single"/>
          <w:lang w:eastAsia="en-GB"/>
        </w:rPr>
      </w:pPr>
      <w:r w:rsidRPr="00AE6BB1">
        <w:rPr>
          <w:rFonts w:ascii="Aptos" w:hAnsi="Aptos"/>
          <w:b/>
          <w:bCs/>
          <w:u w:val="single"/>
        </w:rPr>
        <w:t>Discussion 4: Support, capacity and funding required</w:t>
      </w:r>
    </w:p>
    <w:p w14:paraId="7C95E0AD" w14:textId="77777777" w:rsidR="00203382" w:rsidRPr="00AE6BB1" w:rsidRDefault="00203382" w:rsidP="00AE6BB1">
      <w:pPr>
        <w:rPr>
          <w:rFonts w:ascii="Aptos" w:hAnsi="Aptos"/>
          <w:lang w:eastAsia="en-GB"/>
        </w:rPr>
      </w:pPr>
      <w:r w:rsidRPr="00AE6BB1">
        <w:rPr>
          <w:rFonts w:ascii="Aptos" w:hAnsi="Aptos"/>
          <w:b/>
          <w:bCs/>
        </w:rPr>
        <w:t>Common themes:</w:t>
      </w:r>
      <w:r w:rsidRPr="00AE6BB1">
        <w:rPr>
          <w:rFonts w:ascii="Aptos" w:hAnsi="Aptos"/>
        </w:rPr>
        <w:t xml:space="preserve"> Responses consistently highlighted that the anchor role cannot be delivered without dedicated resource, backfill, administration, training, peer support, specialist advice, governance support and enabling costs. Participants questioned whether one day per week is sufficient and noted that the role may require senior-level leadership, community development capability and operational knowledge. Funding was discussed in terms of full cost recovery, programme costs, support infrastructure, </w:t>
      </w:r>
      <w:r w:rsidRPr="00AE6BB1">
        <w:rPr>
          <w:rFonts w:ascii="Aptos" w:hAnsi="Aptos"/>
        </w:rPr>
        <w:lastRenderedPageBreak/>
        <w:t>tenure, recruitment, succession planning and risk management. There was also concern that accountability and risk should not sit disproportionately with VCSE organisations.</w:t>
      </w:r>
    </w:p>
    <w:p w14:paraId="03EB6427" w14:textId="77777777" w:rsidR="00203382" w:rsidRPr="00AE6BB1" w:rsidRDefault="00203382" w:rsidP="00AE6BB1">
      <w:pPr>
        <w:rPr>
          <w:rFonts w:ascii="Aptos" w:hAnsi="Aptos"/>
          <w:lang w:eastAsia="en-GB"/>
        </w:rPr>
      </w:pPr>
      <w:r w:rsidRPr="00AE6BB1">
        <w:rPr>
          <w:rFonts w:ascii="Aptos" w:hAnsi="Aptos"/>
          <w:b/>
          <w:bCs/>
        </w:rPr>
        <w:t>Consensus:</w:t>
      </w:r>
      <w:r w:rsidRPr="00AE6BB1">
        <w:rPr>
          <w:rFonts w:ascii="Aptos" w:hAnsi="Aptos"/>
        </w:rPr>
        <w:t xml:space="preserve"> There was clear consensus that the role requires more than a nominal payment or attendance allowance. Participants agreed that the role should be properly funded, supported and governed, with full recognition of the time required for relationship building, convening, feedback, preparation, administration and strategic contribution. There was also agreement that flexibility is needed, because different areas may deliver the role through different staffing or organisational arrangements.</w:t>
      </w:r>
    </w:p>
    <w:p w14:paraId="2AB727B8" w14:textId="77777777" w:rsidR="00203382" w:rsidRPr="00AE6BB1" w:rsidRDefault="00203382" w:rsidP="00AE6BB1">
      <w:pPr>
        <w:rPr>
          <w:rFonts w:ascii="Aptos" w:hAnsi="Aptos"/>
          <w:lang w:eastAsia="en-GB"/>
        </w:rPr>
      </w:pPr>
      <w:r w:rsidRPr="00AE6BB1">
        <w:rPr>
          <w:rFonts w:ascii="Aptos" w:hAnsi="Aptos"/>
          <w:b/>
          <w:bCs/>
        </w:rPr>
        <w:t>Conclusion:</w:t>
      </w:r>
      <w:r w:rsidRPr="00AE6BB1">
        <w:rPr>
          <w:rFonts w:ascii="Aptos" w:hAnsi="Aptos"/>
        </w:rPr>
        <w:t xml:space="preserve"> The sustainability of the VCSE Anchor model depends on realistic resourcing and clear governance. A minimum allocation of time may support attendance, but it will not support the wider function of representation, coordination, community engagement, learning and accountability. The model should therefore be treated as a funded programme of work, not simply a meeting role.</w:t>
      </w:r>
    </w:p>
    <w:p w14:paraId="30ECF66F" w14:textId="77777777" w:rsidR="00203382" w:rsidRPr="00AE6BB1" w:rsidRDefault="00203382" w:rsidP="00AE6BB1">
      <w:pPr>
        <w:rPr>
          <w:rFonts w:ascii="Aptos" w:hAnsi="Aptos"/>
          <w:lang w:eastAsia="en-GB"/>
        </w:rPr>
      </w:pPr>
      <w:r w:rsidRPr="00AE6BB1">
        <w:rPr>
          <w:rFonts w:ascii="Aptos" w:hAnsi="Aptos"/>
          <w:b/>
          <w:bCs/>
        </w:rPr>
        <w:t>Recommendations:</w:t>
      </w:r>
      <w:r w:rsidRPr="00AE6BB1">
        <w:rPr>
          <w:rFonts w:ascii="Aptos" w:hAnsi="Aptos"/>
        </w:rPr>
        <w:t xml:space="preserve"> Fund the anchor role on a full cost recovery basis, including salary, backfill, administration, travel, overheads, convening time, training and peer support; develop a core role description with local flexibility; create a funded central support function for coordination and shared learning; build in a test-and-learn approach with regular review; establish clear governance, risk-sharing and accountability arrangements across all INT partners; and consider a three-year tenure with review points and succession planning.</w:t>
      </w:r>
    </w:p>
    <w:p w14:paraId="407DE24E" w14:textId="77777777" w:rsidR="00203382" w:rsidRPr="00AE6BB1" w:rsidRDefault="00203382" w:rsidP="00AE6BB1">
      <w:pPr>
        <w:rPr>
          <w:rFonts w:ascii="Aptos" w:hAnsi="Aptos"/>
          <w:lang w:eastAsia="en-GB"/>
        </w:rPr>
      </w:pPr>
      <w:r w:rsidRPr="00AE6BB1">
        <w:rPr>
          <w:rFonts w:ascii="Aptos" w:hAnsi="Aptos"/>
          <w:b/>
          <w:bCs/>
        </w:rPr>
        <w:t>Areas requiring clarification:</w:t>
      </w:r>
      <w:r w:rsidRPr="00AE6BB1">
        <w:rPr>
          <w:rFonts w:ascii="Aptos" w:hAnsi="Aptos"/>
        </w:rPr>
        <w:t xml:space="preserve"> The total funding available per INT area; whether funding follows the anchor organisation, the person, the programme or the patient pathway; whether £250k is intended to cover anchor roles alone or wider programme delivery; how programme costs will be funded; whether anchor funding should include support to smaller VCSE organisations; what level of seniority is required; who employs or hosts the role; how risk is shared between VCSE, Trust, GP, PHA and Departmental partners; and how equity with other INT core team roles will be assessed.</w:t>
      </w:r>
    </w:p>
    <w:p w14:paraId="0E78F234" w14:textId="77777777" w:rsidR="00203382" w:rsidRPr="00AE6BB1" w:rsidRDefault="00203382" w:rsidP="00AE6BB1">
      <w:pPr>
        <w:rPr>
          <w:rFonts w:ascii="Aptos" w:hAnsi="Aptos"/>
          <w:b/>
          <w:bCs/>
          <w:u w:val="single"/>
          <w:lang w:eastAsia="en-GB"/>
        </w:rPr>
      </w:pPr>
      <w:r w:rsidRPr="00AE6BB1">
        <w:rPr>
          <w:rFonts w:ascii="Aptos" w:hAnsi="Aptos"/>
          <w:b/>
          <w:bCs/>
          <w:u w:val="single"/>
        </w:rPr>
        <w:t>Overall conclusions</w:t>
      </w:r>
    </w:p>
    <w:p w14:paraId="68D9902D" w14:textId="77777777" w:rsidR="00203382" w:rsidRPr="00AE6BB1" w:rsidRDefault="00203382" w:rsidP="00AE6BB1">
      <w:pPr>
        <w:rPr>
          <w:rFonts w:ascii="Aptos" w:hAnsi="Aptos"/>
          <w:lang w:eastAsia="en-GB"/>
        </w:rPr>
      </w:pPr>
      <w:r w:rsidRPr="00AE6BB1">
        <w:rPr>
          <w:rFonts w:ascii="Aptos" w:hAnsi="Aptos"/>
        </w:rPr>
        <w:t>The workshop responses indicate strong support for VCSE involvement in Integrated Neighbourhood Teams and broad recognition of the potential value of a VCSE Anchor role. However, this support is conditional. Participants repeatedly stressed that the model must be designed with the VCSE sector, not imposed on it; must be place-based and networked; must avoid creating competition or gatekeeping; and must be properly resourced, governed and reviewed.</w:t>
      </w:r>
    </w:p>
    <w:p w14:paraId="163513AA" w14:textId="77777777" w:rsidR="00203382" w:rsidRPr="00AE6BB1" w:rsidRDefault="00203382" w:rsidP="00AE6BB1">
      <w:pPr>
        <w:rPr>
          <w:rFonts w:ascii="Aptos" w:hAnsi="Aptos"/>
          <w:lang w:eastAsia="en-GB"/>
        </w:rPr>
      </w:pPr>
      <w:r w:rsidRPr="00AE6BB1">
        <w:rPr>
          <w:rFonts w:ascii="Aptos" w:hAnsi="Aptos"/>
        </w:rPr>
        <w:t xml:space="preserve">There is a clear direction of travel towards a blended networked/hybrid model, with local flexibility and a common regional framework. The strongest areas of consensus </w:t>
      </w:r>
      <w:r w:rsidRPr="00AE6BB1">
        <w:rPr>
          <w:rFonts w:ascii="Aptos" w:hAnsi="Aptos"/>
        </w:rPr>
        <w:lastRenderedPageBreak/>
        <w:t>are the rejection of a single-organisation model, the need to build on existing VCSE infrastructure, the importance of transparent selection and accountability, and the requirement for meaningful funding and support. The main unresolved issues relate to role clarity, geography, accountability, capacity, funding and implementation timescales.</w:t>
      </w:r>
    </w:p>
    <w:p w14:paraId="5B71E7FD" w14:textId="77777777" w:rsidR="00203382" w:rsidRPr="00AE6BB1" w:rsidRDefault="00203382" w:rsidP="00AE6BB1">
      <w:pPr>
        <w:rPr>
          <w:rFonts w:ascii="Aptos" w:hAnsi="Aptos"/>
          <w:b/>
          <w:bCs/>
          <w:u w:val="single"/>
          <w:lang w:eastAsia="en-GB"/>
        </w:rPr>
      </w:pPr>
      <w:r w:rsidRPr="00AE6BB1">
        <w:rPr>
          <w:rFonts w:ascii="Aptos" w:hAnsi="Aptos"/>
          <w:b/>
          <w:bCs/>
          <w:u w:val="single"/>
        </w:rPr>
        <w:t>Cross-cutting recommendations</w:t>
      </w:r>
    </w:p>
    <w:p w14:paraId="30BB5721" w14:textId="77777777" w:rsidR="00203382" w:rsidRPr="00AE6BB1" w:rsidRDefault="00203382" w:rsidP="00AE6BB1">
      <w:pPr>
        <w:pStyle w:val="ListParagraph"/>
        <w:numPr>
          <w:ilvl w:val="0"/>
          <w:numId w:val="16"/>
        </w:numPr>
        <w:rPr>
          <w:rFonts w:ascii="Aptos" w:hAnsi="Aptos"/>
          <w:lang w:eastAsia="en-GB"/>
        </w:rPr>
      </w:pPr>
      <w:r w:rsidRPr="00AE6BB1">
        <w:rPr>
          <w:rFonts w:ascii="Aptos" w:hAnsi="Aptos"/>
        </w:rPr>
        <w:t>Develop a clear regional framework for the VCSE Anchor model, setting out role purpose, minimum expectations, governance, accountability, information flows and review arrangements.</w:t>
      </w:r>
    </w:p>
    <w:p w14:paraId="1E0A48C9" w14:textId="77777777" w:rsidR="00203382" w:rsidRPr="00AE6BB1" w:rsidRDefault="00203382" w:rsidP="00AE6BB1">
      <w:pPr>
        <w:pStyle w:val="ListParagraph"/>
        <w:numPr>
          <w:ilvl w:val="0"/>
          <w:numId w:val="16"/>
        </w:numPr>
        <w:rPr>
          <w:rFonts w:ascii="Aptos" w:hAnsi="Aptos"/>
        </w:rPr>
      </w:pPr>
      <w:r w:rsidRPr="00AE6BB1">
        <w:rPr>
          <w:rFonts w:ascii="Aptos" w:hAnsi="Aptos"/>
        </w:rPr>
        <w:t>Adopt a blended networked/hybrid model as the preferred design direction, allowing local areas to build from existing VCSE infrastructure while maintaining shared principles across all INTs.</w:t>
      </w:r>
    </w:p>
    <w:p w14:paraId="0B96F88D" w14:textId="77777777" w:rsidR="00203382" w:rsidRPr="00AE6BB1" w:rsidRDefault="00203382" w:rsidP="00AE6BB1">
      <w:pPr>
        <w:pStyle w:val="ListParagraph"/>
        <w:numPr>
          <w:ilvl w:val="0"/>
          <w:numId w:val="16"/>
        </w:numPr>
        <w:rPr>
          <w:rFonts w:ascii="Aptos" w:hAnsi="Aptos"/>
        </w:rPr>
      </w:pPr>
      <w:r w:rsidRPr="00AE6BB1">
        <w:rPr>
          <w:rFonts w:ascii="Aptos" w:hAnsi="Aptos"/>
        </w:rPr>
        <w:t>Remove the single-organisation model as a preferred option, given the strong feedback on risk, representation, capacity and legitimacy.</w:t>
      </w:r>
    </w:p>
    <w:p w14:paraId="39C9EF2C" w14:textId="77777777" w:rsidR="00203382" w:rsidRPr="00AE6BB1" w:rsidRDefault="00203382" w:rsidP="00AE6BB1">
      <w:pPr>
        <w:pStyle w:val="ListParagraph"/>
        <w:numPr>
          <w:ilvl w:val="0"/>
          <w:numId w:val="16"/>
        </w:numPr>
        <w:rPr>
          <w:rFonts w:ascii="Aptos" w:hAnsi="Aptos"/>
        </w:rPr>
      </w:pPr>
      <w:r w:rsidRPr="00AE6BB1">
        <w:rPr>
          <w:rFonts w:ascii="Aptos" w:hAnsi="Aptos"/>
        </w:rPr>
        <w:t>Undertake mapping in each INT area to identify existing VCSE networks, specialist expertise, local assets, service gaps, referral routes and community infrastructure.</w:t>
      </w:r>
    </w:p>
    <w:p w14:paraId="12E93C6F" w14:textId="77777777" w:rsidR="00203382" w:rsidRPr="00AE6BB1" w:rsidRDefault="00203382" w:rsidP="00AE6BB1">
      <w:pPr>
        <w:pStyle w:val="ListParagraph"/>
        <w:numPr>
          <w:ilvl w:val="0"/>
          <w:numId w:val="16"/>
        </w:numPr>
        <w:rPr>
          <w:rFonts w:ascii="Aptos" w:hAnsi="Aptos"/>
        </w:rPr>
      </w:pPr>
      <w:r w:rsidRPr="00AE6BB1">
        <w:rPr>
          <w:rFonts w:ascii="Aptos" w:hAnsi="Aptos"/>
        </w:rPr>
        <w:t>Create transparent selection and mandate arrangements, including evidence of local support, conflict of interest management and mechanisms for wider VCSE accountability.</w:t>
      </w:r>
    </w:p>
    <w:p w14:paraId="18C032D0" w14:textId="118FAEEB" w:rsidR="00203382" w:rsidRPr="00AE6BB1" w:rsidRDefault="00203382" w:rsidP="00AE6BB1">
      <w:pPr>
        <w:pStyle w:val="ListParagraph"/>
        <w:numPr>
          <w:ilvl w:val="0"/>
          <w:numId w:val="16"/>
        </w:numPr>
        <w:rPr>
          <w:rFonts w:ascii="Aptos" w:hAnsi="Aptos"/>
        </w:rPr>
      </w:pPr>
      <w:r w:rsidRPr="00AE6BB1">
        <w:rPr>
          <w:rFonts w:ascii="Aptos" w:hAnsi="Aptos"/>
        </w:rPr>
        <w:t>Fund the anchor function properly through full cost recovery, including staff time, administration, convening, travel, training, peer support and overheads.</w:t>
      </w:r>
    </w:p>
    <w:p w14:paraId="206A09CA" w14:textId="7184A5A4" w:rsidR="00203382" w:rsidRPr="00AE6BB1" w:rsidRDefault="00203382" w:rsidP="00AE6BB1">
      <w:pPr>
        <w:pStyle w:val="ListParagraph"/>
        <w:numPr>
          <w:ilvl w:val="0"/>
          <w:numId w:val="16"/>
        </w:numPr>
        <w:rPr>
          <w:rFonts w:ascii="Aptos" w:hAnsi="Aptos"/>
        </w:rPr>
      </w:pPr>
      <w:r w:rsidRPr="00AE6BB1">
        <w:rPr>
          <w:rFonts w:ascii="Aptos" w:hAnsi="Aptos"/>
        </w:rPr>
        <w:t xml:space="preserve">Establish a funded support infrastructure, potentially through NIHC </w:t>
      </w:r>
      <w:r w:rsidR="005A3B40">
        <w:rPr>
          <w:rFonts w:ascii="Aptos" w:hAnsi="Aptos"/>
        </w:rPr>
        <w:t>working with other regional networks</w:t>
      </w:r>
      <w:r w:rsidRPr="00AE6BB1">
        <w:rPr>
          <w:rFonts w:ascii="Aptos" w:hAnsi="Aptos"/>
        </w:rPr>
        <w:t>, to enable anchor-to-anchor learning, shared messages, coordination and escalation of common issues.</w:t>
      </w:r>
    </w:p>
    <w:p w14:paraId="1F065504" w14:textId="77777777" w:rsidR="00203382" w:rsidRPr="00AE6BB1" w:rsidRDefault="00203382" w:rsidP="00AE6BB1">
      <w:pPr>
        <w:pStyle w:val="ListParagraph"/>
        <w:numPr>
          <w:ilvl w:val="0"/>
          <w:numId w:val="16"/>
        </w:numPr>
        <w:rPr>
          <w:rFonts w:ascii="Aptos" w:hAnsi="Aptos"/>
        </w:rPr>
      </w:pPr>
      <w:r w:rsidRPr="00AE6BB1">
        <w:rPr>
          <w:rFonts w:ascii="Aptos" w:hAnsi="Aptos"/>
        </w:rPr>
        <w:t>Build in a test-and-learn implementation phase with review points, shared learning and flexibility to adapt the model as INTs develop and as clinical or population priorities change.</w:t>
      </w:r>
    </w:p>
    <w:p w14:paraId="50F82AA2" w14:textId="77777777" w:rsidR="00203382" w:rsidRPr="00AE6BB1" w:rsidRDefault="00203382" w:rsidP="00AE6BB1">
      <w:pPr>
        <w:pStyle w:val="ListParagraph"/>
        <w:numPr>
          <w:ilvl w:val="0"/>
          <w:numId w:val="16"/>
        </w:numPr>
        <w:rPr>
          <w:rFonts w:ascii="Aptos" w:hAnsi="Aptos"/>
        </w:rPr>
      </w:pPr>
      <w:r w:rsidRPr="00AE6BB1">
        <w:rPr>
          <w:rFonts w:ascii="Aptos" w:hAnsi="Aptos"/>
        </w:rPr>
        <w:t>Ensure the model supports two-way referral and information flows, recognising that an integrated system must include referrals from VCSE into statutory pathways as well as referrals from statutory services into VCSE provision.</w:t>
      </w:r>
    </w:p>
    <w:p w14:paraId="5B885AD2" w14:textId="77777777" w:rsidR="00203382" w:rsidRPr="00AE6BB1" w:rsidRDefault="00203382" w:rsidP="00AE6BB1">
      <w:pPr>
        <w:pStyle w:val="ListParagraph"/>
        <w:numPr>
          <w:ilvl w:val="0"/>
          <w:numId w:val="16"/>
        </w:numPr>
        <w:rPr>
          <w:rFonts w:ascii="Aptos" w:hAnsi="Aptos"/>
        </w:rPr>
      </w:pPr>
      <w:r w:rsidRPr="00AE6BB1">
        <w:rPr>
          <w:rFonts w:ascii="Aptos" w:hAnsi="Aptos"/>
        </w:rPr>
        <w:t>Clarify risk, safeguarding, data protection and accountability expectations so that responsibilities are shared appropriately across all INT partners and do not sit disproportionately with VCSE organisations.</w:t>
      </w:r>
    </w:p>
    <w:p w14:paraId="59D67C39" w14:textId="77777777" w:rsidR="00D17D35" w:rsidRPr="00AE6BB1" w:rsidRDefault="00D17D35" w:rsidP="00AE6BB1">
      <w:pPr>
        <w:rPr>
          <w:rFonts w:ascii="Aptos" w:hAnsi="Aptos"/>
          <w:b/>
          <w:bCs/>
          <w:u w:val="single"/>
          <w:lang w:eastAsia="en-GB"/>
        </w:rPr>
      </w:pPr>
      <w:r w:rsidRPr="00AE6BB1">
        <w:rPr>
          <w:rFonts w:ascii="Aptos" w:hAnsi="Aptos"/>
          <w:b/>
          <w:bCs/>
          <w:u w:val="single"/>
        </w:rPr>
        <w:t>Conclusion and proposed next steps</w:t>
      </w:r>
    </w:p>
    <w:p w14:paraId="2977CC4E" w14:textId="5DA1ED11" w:rsidR="00DC6A1A" w:rsidRPr="00AE6BB1" w:rsidRDefault="00DC6A1A" w:rsidP="00AE6BB1">
      <w:pPr>
        <w:rPr>
          <w:rFonts w:ascii="Aptos" w:hAnsi="Aptos"/>
          <w:lang w:eastAsia="en-GB"/>
        </w:rPr>
      </w:pPr>
      <w:r w:rsidRPr="00AE6BB1">
        <w:rPr>
          <w:rFonts w:ascii="Aptos" w:hAnsi="Aptos"/>
        </w:rPr>
        <w:t>The workshop feedback provides a clear mandate to continue developing the VCSE Anchor model, but the next phase</w:t>
      </w:r>
      <w:r w:rsidR="00E44D27" w:rsidRPr="00AE6BB1">
        <w:rPr>
          <w:rFonts w:ascii="Aptos" w:hAnsi="Aptos"/>
        </w:rPr>
        <w:t xml:space="preserve"> must</w:t>
      </w:r>
      <w:r w:rsidRPr="00AE6BB1">
        <w:rPr>
          <w:rFonts w:ascii="Aptos" w:hAnsi="Aptos"/>
        </w:rPr>
        <w:t xml:space="preserve"> address the practical, governance and resourcing concerns raised by participants. The model should be co-designed with the </w:t>
      </w:r>
      <w:r w:rsidRPr="00AE6BB1">
        <w:rPr>
          <w:rFonts w:ascii="Aptos" w:hAnsi="Aptos"/>
        </w:rPr>
        <w:lastRenderedPageBreak/>
        <w:t>VCSE sector, grounded in local legitimacy, and supported by a regional framework that enables consistency without imposing uniformity. The immediate next step should be to refine the proposed model into a draft implementation framework for further testing with VCSE stakeholders and statutory partners.</w:t>
      </w:r>
    </w:p>
    <w:p w14:paraId="1D6C6735" w14:textId="77777777" w:rsidR="00DC6A1A" w:rsidRPr="00AE6BB1" w:rsidRDefault="00DC6A1A" w:rsidP="00AE6BB1">
      <w:pPr>
        <w:rPr>
          <w:rFonts w:ascii="Aptos" w:hAnsi="Aptos"/>
          <w:lang w:eastAsia="en-GB"/>
        </w:rPr>
      </w:pPr>
      <w:r w:rsidRPr="00AE6BB1">
        <w:rPr>
          <w:rFonts w:ascii="Aptos" w:hAnsi="Aptos"/>
        </w:rPr>
        <w:t>Proposed next steps are to agree the preferred model, clarify the role and governance arrangements, undertake local mapping, confirm the resource envelope, design the selection and mandate process, and establish a test-and-learn phase with clear review points. These steps should be completed before recruitment or implementation proceeds at pace.</w:t>
      </w:r>
    </w:p>
    <w:p w14:paraId="231AECF1" w14:textId="77777777" w:rsidR="00DC6A1A" w:rsidRPr="00AE6BB1" w:rsidRDefault="00DC6A1A" w:rsidP="00AE6BB1">
      <w:pPr>
        <w:rPr>
          <w:rFonts w:ascii="Aptos" w:hAnsi="Aptos"/>
          <w:b/>
          <w:bCs/>
          <w:u w:val="single"/>
          <w:lang w:eastAsia="en-GB"/>
        </w:rPr>
      </w:pPr>
      <w:r w:rsidRPr="00AE6BB1">
        <w:rPr>
          <w:rFonts w:ascii="Aptos" w:hAnsi="Aptos"/>
          <w:b/>
          <w:bCs/>
          <w:u w:val="single"/>
        </w:rPr>
        <w:t>Key points for senior leaders</w:t>
      </w:r>
    </w:p>
    <w:p w14:paraId="76108725" w14:textId="77777777" w:rsidR="00DC6A1A" w:rsidRPr="00AE6BB1" w:rsidRDefault="00DC6A1A" w:rsidP="00AE6BB1">
      <w:pPr>
        <w:rPr>
          <w:rFonts w:ascii="Aptos" w:hAnsi="Aptos"/>
          <w:lang w:eastAsia="en-GB"/>
        </w:rPr>
      </w:pPr>
      <w:r w:rsidRPr="00AE6BB1">
        <w:rPr>
          <w:rFonts w:ascii="Aptos" w:hAnsi="Aptos"/>
          <w:b/>
          <w:bCs/>
        </w:rPr>
        <w:t>The single-organisation model does not have stakeholder support.</w:t>
      </w:r>
      <w:r w:rsidRPr="00AE6BB1">
        <w:rPr>
          <w:rFonts w:ascii="Aptos" w:hAnsi="Aptos"/>
        </w:rPr>
        <w:t xml:space="preserve"> Feedback consistently highlighted risks around representation, capacity, competition, legitimacy and gatekeeping.</w:t>
      </w:r>
    </w:p>
    <w:p w14:paraId="731D7E37" w14:textId="77777777" w:rsidR="00DC6A1A" w:rsidRPr="00AE6BB1" w:rsidRDefault="00DC6A1A" w:rsidP="00AE6BB1">
      <w:pPr>
        <w:rPr>
          <w:rFonts w:ascii="Aptos" w:hAnsi="Aptos"/>
        </w:rPr>
      </w:pPr>
      <w:r w:rsidRPr="00AE6BB1">
        <w:rPr>
          <w:rFonts w:ascii="Aptos" w:hAnsi="Aptos"/>
          <w:b/>
          <w:bCs/>
        </w:rPr>
        <w:t>A blended networked/hybrid model is the preferred direction.</w:t>
      </w:r>
      <w:r w:rsidRPr="00AE6BB1">
        <w:rPr>
          <w:rFonts w:ascii="Aptos" w:hAnsi="Aptos"/>
        </w:rPr>
        <w:t xml:space="preserve"> Participants favoured local flexibility within a common regional framework, allowing areas to build on existing VCSE infrastructure, networks and partnership arrangements.</w:t>
      </w:r>
    </w:p>
    <w:p w14:paraId="4D7FF3D9" w14:textId="77777777" w:rsidR="00DC6A1A" w:rsidRPr="00AE6BB1" w:rsidRDefault="00DC6A1A" w:rsidP="00AE6BB1">
      <w:pPr>
        <w:rPr>
          <w:rFonts w:ascii="Aptos" w:hAnsi="Aptos"/>
        </w:rPr>
      </w:pPr>
      <w:r w:rsidRPr="00AE6BB1">
        <w:rPr>
          <w:rFonts w:ascii="Aptos" w:hAnsi="Aptos"/>
          <w:b/>
          <w:bCs/>
        </w:rPr>
        <w:t>Role clarity is essential.</w:t>
      </w:r>
      <w:r w:rsidRPr="00AE6BB1">
        <w:rPr>
          <w:rFonts w:ascii="Aptos" w:hAnsi="Aptos"/>
        </w:rPr>
        <w:t xml:space="preserve"> Stakeholders need clarity on whether the anchor is a person, organisation or networked function; whether the role is strategic, operational or both; and what decision-making authority the role carries.</w:t>
      </w:r>
    </w:p>
    <w:p w14:paraId="40BAAD04" w14:textId="77777777" w:rsidR="00DC6A1A" w:rsidRPr="00AE6BB1" w:rsidRDefault="00DC6A1A" w:rsidP="00AE6BB1">
      <w:pPr>
        <w:rPr>
          <w:rFonts w:ascii="Aptos" w:hAnsi="Aptos"/>
        </w:rPr>
      </w:pPr>
      <w:r w:rsidRPr="00AE6BB1">
        <w:rPr>
          <w:rFonts w:ascii="Aptos" w:hAnsi="Aptos"/>
          <w:b/>
          <w:bCs/>
        </w:rPr>
        <w:t>Implementation should not be rushed.</w:t>
      </w:r>
      <w:r w:rsidRPr="00AE6BB1">
        <w:rPr>
          <w:rFonts w:ascii="Aptos" w:hAnsi="Aptos"/>
        </w:rPr>
        <w:t xml:space="preserve"> Participants questioned whether current timescales are realistic given the need for local mapping, selection arrangements, governance, mandate and funding clarity.</w:t>
      </w:r>
    </w:p>
    <w:p w14:paraId="548C3C7B" w14:textId="77777777" w:rsidR="00DC6A1A" w:rsidRPr="00AE6BB1" w:rsidRDefault="00DC6A1A" w:rsidP="00AE6BB1">
      <w:pPr>
        <w:rPr>
          <w:rFonts w:ascii="Aptos" w:hAnsi="Aptos"/>
        </w:rPr>
      </w:pPr>
      <w:r w:rsidRPr="00AE6BB1">
        <w:rPr>
          <w:rFonts w:ascii="Aptos" w:hAnsi="Aptos"/>
          <w:b/>
          <w:bCs/>
        </w:rPr>
        <w:t>Funding must reflect the scale of the role.</w:t>
      </w:r>
      <w:r w:rsidRPr="00AE6BB1">
        <w:rPr>
          <w:rFonts w:ascii="Aptos" w:hAnsi="Aptos"/>
        </w:rPr>
        <w:t xml:space="preserve"> The anchor function should be funded on a full cost recovery basis and treated as a programme of work, not a meeting attendance role.</w:t>
      </w:r>
    </w:p>
    <w:p w14:paraId="22F92635" w14:textId="77777777" w:rsidR="00DC6A1A" w:rsidRPr="00AE6BB1" w:rsidRDefault="00DC6A1A" w:rsidP="00AE6BB1">
      <w:pPr>
        <w:rPr>
          <w:rFonts w:ascii="Aptos" w:hAnsi="Aptos"/>
        </w:rPr>
      </w:pPr>
      <w:r w:rsidRPr="00AE6BB1">
        <w:rPr>
          <w:rFonts w:ascii="Aptos" w:hAnsi="Aptos"/>
          <w:b/>
          <w:bCs/>
        </w:rPr>
        <w:t>Accountability and risk must be shared.</w:t>
      </w:r>
      <w:r w:rsidRPr="00AE6BB1">
        <w:rPr>
          <w:rFonts w:ascii="Aptos" w:hAnsi="Aptos"/>
        </w:rPr>
        <w:t xml:space="preserve"> Safeguarding, data protection, referral pathways, decision-making and outcomes must sit within clear shared governance across INT partners, not disproportionately with VCSE organisations.</w:t>
      </w:r>
    </w:p>
    <w:p w14:paraId="6AEA8763" w14:textId="77777777" w:rsidR="00DC6A1A" w:rsidRPr="00FC5806" w:rsidRDefault="00DC6A1A" w:rsidP="00AE6BB1">
      <w:pPr>
        <w:rPr>
          <w:rFonts w:ascii="Aptos" w:hAnsi="Aptos"/>
          <w:b/>
          <w:bCs/>
          <w:lang w:eastAsia="en-GB"/>
        </w:rPr>
      </w:pPr>
      <w:r w:rsidRPr="00FC5806">
        <w:rPr>
          <w:rFonts w:ascii="Aptos" w:hAnsi="Aptos"/>
          <w:b/>
          <w:bCs/>
        </w:rPr>
        <w:t>Priority recommendations</w:t>
      </w:r>
    </w:p>
    <w:p w14:paraId="3964CEFF" w14:textId="77777777" w:rsidR="00DC6A1A" w:rsidRPr="00AE6BB1" w:rsidRDefault="00DC6A1A" w:rsidP="00AE6BB1">
      <w:pPr>
        <w:rPr>
          <w:rFonts w:ascii="Aptos" w:hAnsi="Aptos"/>
          <w:lang w:eastAsia="en-GB"/>
        </w:rPr>
      </w:pPr>
      <w:r w:rsidRPr="00AE6BB1">
        <w:rPr>
          <w:rFonts w:ascii="Aptos" w:hAnsi="Aptos"/>
          <w:b/>
          <w:bCs/>
        </w:rPr>
        <w:t>Confirm a blended networked/hybrid model as the preferred direction of travel.</w:t>
      </w:r>
      <w:r w:rsidRPr="00AE6BB1">
        <w:rPr>
          <w:rFonts w:ascii="Aptos" w:hAnsi="Aptos"/>
        </w:rPr>
        <w:t xml:space="preserve"> This should allow local adaptation while maintaining consistent regional principles.</w:t>
      </w:r>
    </w:p>
    <w:p w14:paraId="6B65E80C" w14:textId="77777777" w:rsidR="00DC6A1A" w:rsidRPr="00AE6BB1" w:rsidRDefault="00DC6A1A" w:rsidP="00AE6BB1">
      <w:pPr>
        <w:rPr>
          <w:rFonts w:ascii="Aptos" w:hAnsi="Aptos"/>
        </w:rPr>
      </w:pPr>
      <w:r w:rsidRPr="00AE6BB1">
        <w:rPr>
          <w:rFonts w:ascii="Aptos" w:hAnsi="Aptos"/>
          <w:b/>
          <w:bCs/>
        </w:rPr>
        <w:t>Remove the single-organisation model from further development as the preferred option.</w:t>
      </w:r>
      <w:r w:rsidRPr="00AE6BB1">
        <w:rPr>
          <w:rFonts w:ascii="Aptos" w:hAnsi="Aptos"/>
        </w:rPr>
        <w:t xml:space="preserve"> It does not reflect stakeholder feedback and presents significant risks.</w:t>
      </w:r>
    </w:p>
    <w:p w14:paraId="3F840547" w14:textId="77777777" w:rsidR="00DC6A1A" w:rsidRPr="00AE6BB1" w:rsidRDefault="00DC6A1A" w:rsidP="00AE6BB1">
      <w:pPr>
        <w:rPr>
          <w:rFonts w:ascii="Aptos" w:hAnsi="Aptos"/>
        </w:rPr>
      </w:pPr>
      <w:r w:rsidRPr="00AE6BB1">
        <w:rPr>
          <w:rFonts w:ascii="Aptos" w:hAnsi="Aptos"/>
          <w:b/>
          <w:bCs/>
        </w:rPr>
        <w:lastRenderedPageBreak/>
        <w:t>Develop a regional implementation framework.</w:t>
      </w:r>
      <w:r w:rsidRPr="00AE6BB1">
        <w:rPr>
          <w:rFonts w:ascii="Aptos" w:hAnsi="Aptos"/>
        </w:rPr>
        <w:t xml:space="preserve"> This should set out role purpose, minimum expectations, governance, accountability, information flows, review arrangements and links to existing structures.</w:t>
      </w:r>
    </w:p>
    <w:p w14:paraId="46CB4471" w14:textId="77777777" w:rsidR="00DC6A1A" w:rsidRPr="00AE6BB1" w:rsidRDefault="00DC6A1A" w:rsidP="00AE6BB1">
      <w:pPr>
        <w:rPr>
          <w:rFonts w:ascii="Aptos" w:hAnsi="Aptos"/>
        </w:rPr>
      </w:pPr>
      <w:r w:rsidRPr="00AE6BB1">
        <w:rPr>
          <w:rFonts w:ascii="Aptos" w:hAnsi="Aptos"/>
          <w:b/>
          <w:bCs/>
        </w:rPr>
        <w:t>Undertake local VCSE infrastructure mapping before recruitment or appointment.</w:t>
      </w:r>
      <w:r w:rsidRPr="00AE6BB1">
        <w:rPr>
          <w:rFonts w:ascii="Aptos" w:hAnsi="Aptos"/>
        </w:rPr>
        <w:t xml:space="preserve"> Mapping should identify existing networks, community assets, specialist expertise, service gaps, referral routes and local partnership arrangements.</w:t>
      </w:r>
    </w:p>
    <w:p w14:paraId="7F0D801C" w14:textId="77777777" w:rsidR="00DC6A1A" w:rsidRPr="00AE6BB1" w:rsidRDefault="00DC6A1A" w:rsidP="00AE6BB1">
      <w:pPr>
        <w:rPr>
          <w:rFonts w:ascii="Aptos" w:hAnsi="Aptos"/>
        </w:rPr>
      </w:pPr>
      <w:r w:rsidRPr="00AE6BB1">
        <w:rPr>
          <w:rFonts w:ascii="Aptos" w:hAnsi="Aptos"/>
          <w:b/>
          <w:bCs/>
        </w:rPr>
        <w:t>Create a transparent selection and mandate process.</w:t>
      </w:r>
      <w:r w:rsidRPr="00AE6BB1">
        <w:rPr>
          <w:rFonts w:ascii="Aptos" w:hAnsi="Aptos"/>
        </w:rPr>
        <w:t xml:space="preserve"> Local VCSE organisations should be involved in shaping how anchors are nominated, appointed, supported and held accountable.</w:t>
      </w:r>
    </w:p>
    <w:p w14:paraId="43F8A2F0" w14:textId="77777777" w:rsidR="00DC6A1A" w:rsidRPr="00AE6BB1" w:rsidRDefault="00DC6A1A" w:rsidP="00AE6BB1">
      <w:pPr>
        <w:rPr>
          <w:rFonts w:ascii="Aptos" w:hAnsi="Aptos"/>
        </w:rPr>
      </w:pPr>
      <w:r w:rsidRPr="00AE6BB1">
        <w:rPr>
          <w:rFonts w:ascii="Aptos" w:hAnsi="Aptos"/>
          <w:b/>
          <w:bCs/>
        </w:rPr>
        <w:t>Fund the anchor function on a full cost recovery basis.</w:t>
      </w:r>
      <w:r w:rsidRPr="00AE6BB1">
        <w:rPr>
          <w:rFonts w:ascii="Aptos" w:hAnsi="Aptos"/>
        </w:rPr>
        <w:t xml:space="preserve"> Funding should include senior staff time, backfill, administration, travel, overheads, convening, training, peer support and coordination.</w:t>
      </w:r>
    </w:p>
    <w:p w14:paraId="348FB944" w14:textId="77777777" w:rsidR="00DC6A1A" w:rsidRPr="00AE6BB1" w:rsidRDefault="00DC6A1A" w:rsidP="00AE6BB1">
      <w:pPr>
        <w:rPr>
          <w:rFonts w:ascii="Aptos" w:hAnsi="Aptos"/>
        </w:rPr>
      </w:pPr>
      <w:r w:rsidRPr="00AE6BB1">
        <w:rPr>
          <w:rFonts w:ascii="Aptos" w:hAnsi="Aptos"/>
          <w:b/>
          <w:bCs/>
        </w:rPr>
        <w:t>Establish funded regional support and peer learning.</w:t>
      </w:r>
      <w:r w:rsidRPr="00AE6BB1">
        <w:rPr>
          <w:rFonts w:ascii="Aptos" w:hAnsi="Aptos"/>
        </w:rPr>
        <w:t xml:space="preserve"> A support infrastructure is needed to enable shared learning across the 17 INT areas, escalation of common issues and access to specialist expertise.</w:t>
      </w:r>
    </w:p>
    <w:p w14:paraId="08C324A6" w14:textId="77777777" w:rsidR="00DC6A1A" w:rsidRPr="00AE6BB1" w:rsidRDefault="00DC6A1A" w:rsidP="00AE6BB1">
      <w:pPr>
        <w:rPr>
          <w:rFonts w:ascii="Aptos" w:hAnsi="Aptos"/>
        </w:rPr>
      </w:pPr>
      <w:r w:rsidRPr="00AE6BB1">
        <w:rPr>
          <w:rFonts w:ascii="Aptos" w:hAnsi="Aptos"/>
          <w:b/>
          <w:bCs/>
        </w:rPr>
        <w:t>Proceed through a test-and-learn phase.</w:t>
      </w:r>
      <w:r w:rsidRPr="00AE6BB1">
        <w:rPr>
          <w:rFonts w:ascii="Aptos" w:hAnsi="Aptos"/>
        </w:rPr>
        <w:t xml:space="preserve"> Implementation should include review points, flexibility to adapt locally and shared learning before wider roll-out or formalisation.</w:t>
      </w:r>
    </w:p>
    <w:p w14:paraId="573DE333" w14:textId="77777777" w:rsidR="00DC6A1A" w:rsidRPr="00AE6BB1" w:rsidRDefault="00DC6A1A" w:rsidP="00AE6BB1">
      <w:pPr>
        <w:rPr>
          <w:rFonts w:ascii="Aptos" w:hAnsi="Aptos"/>
          <w:b/>
          <w:bCs/>
          <w:u w:val="single"/>
          <w:lang w:eastAsia="en-GB"/>
        </w:rPr>
      </w:pPr>
      <w:r w:rsidRPr="00AE6BB1">
        <w:rPr>
          <w:rFonts w:ascii="Aptos" w:hAnsi="Aptos"/>
          <w:b/>
          <w:bCs/>
          <w:u w:val="single"/>
        </w:rPr>
        <w:t>Decisions required</w:t>
      </w:r>
    </w:p>
    <w:p w14:paraId="21394C72" w14:textId="77777777" w:rsidR="00DC6A1A" w:rsidRPr="00AE6BB1" w:rsidRDefault="00DC6A1A" w:rsidP="00AE6BB1">
      <w:pPr>
        <w:pStyle w:val="ListParagraph"/>
        <w:numPr>
          <w:ilvl w:val="0"/>
          <w:numId w:val="14"/>
        </w:numPr>
        <w:rPr>
          <w:rFonts w:ascii="Aptos" w:hAnsi="Aptos"/>
          <w:lang w:eastAsia="en-GB"/>
        </w:rPr>
      </w:pPr>
      <w:r w:rsidRPr="00AE6BB1">
        <w:rPr>
          <w:rFonts w:ascii="Aptos" w:hAnsi="Aptos"/>
        </w:rPr>
        <w:t>Agree whether the VCSE Anchor is a person, organisation, networked function or blended arrangement.</w:t>
      </w:r>
    </w:p>
    <w:p w14:paraId="2E36656A" w14:textId="77777777" w:rsidR="00DC6A1A" w:rsidRPr="00AE6BB1" w:rsidRDefault="00DC6A1A" w:rsidP="00AE6BB1">
      <w:pPr>
        <w:pStyle w:val="ListParagraph"/>
        <w:numPr>
          <w:ilvl w:val="0"/>
          <w:numId w:val="14"/>
        </w:numPr>
        <w:rPr>
          <w:rFonts w:ascii="Aptos" w:hAnsi="Aptos"/>
        </w:rPr>
      </w:pPr>
      <w:r w:rsidRPr="00AE6BB1">
        <w:rPr>
          <w:rFonts w:ascii="Aptos" w:hAnsi="Aptos"/>
        </w:rPr>
        <w:t>Define the geography for “place-based” implementation, including how this aligns with INTs, GP Federations, Trusts, councils and community planning structures.</w:t>
      </w:r>
    </w:p>
    <w:p w14:paraId="77DD6F97" w14:textId="77777777" w:rsidR="00DC6A1A" w:rsidRPr="00AE6BB1" w:rsidRDefault="00DC6A1A" w:rsidP="00AE6BB1">
      <w:pPr>
        <w:pStyle w:val="ListParagraph"/>
        <w:numPr>
          <w:ilvl w:val="0"/>
          <w:numId w:val="14"/>
        </w:numPr>
        <w:rPr>
          <w:rFonts w:ascii="Aptos" w:hAnsi="Aptos"/>
        </w:rPr>
      </w:pPr>
      <w:r w:rsidRPr="00AE6BB1">
        <w:rPr>
          <w:rFonts w:ascii="Aptos" w:hAnsi="Aptos"/>
        </w:rPr>
        <w:t>Confirm the funding envelope and whether it covers anchor roles only or wider programme delivery, support and coordination costs.</w:t>
      </w:r>
    </w:p>
    <w:p w14:paraId="050EFD21" w14:textId="77777777" w:rsidR="00DC6A1A" w:rsidRPr="00AE6BB1" w:rsidRDefault="00DC6A1A" w:rsidP="00AE6BB1">
      <w:pPr>
        <w:pStyle w:val="ListParagraph"/>
        <w:numPr>
          <w:ilvl w:val="0"/>
          <w:numId w:val="14"/>
        </w:numPr>
        <w:rPr>
          <w:rFonts w:ascii="Aptos" w:hAnsi="Aptos"/>
        </w:rPr>
      </w:pPr>
      <w:r w:rsidRPr="00AE6BB1">
        <w:rPr>
          <w:rFonts w:ascii="Aptos" w:hAnsi="Aptos"/>
        </w:rPr>
        <w:t>Clarify the expected time commitment and level of seniority required.</w:t>
      </w:r>
    </w:p>
    <w:p w14:paraId="2B118579" w14:textId="77777777" w:rsidR="00DC6A1A" w:rsidRPr="00AE6BB1" w:rsidRDefault="00DC6A1A" w:rsidP="00AE6BB1">
      <w:pPr>
        <w:pStyle w:val="ListParagraph"/>
        <w:numPr>
          <w:ilvl w:val="0"/>
          <w:numId w:val="14"/>
        </w:numPr>
        <w:rPr>
          <w:rFonts w:ascii="Aptos" w:hAnsi="Aptos"/>
        </w:rPr>
      </w:pPr>
      <w:r w:rsidRPr="00AE6BB1">
        <w:rPr>
          <w:rFonts w:ascii="Aptos" w:hAnsi="Aptos"/>
        </w:rPr>
        <w:t>Agree who provides regional coordination, shared learning and support across the 17 INT areas.</w:t>
      </w:r>
    </w:p>
    <w:p w14:paraId="5A3A4C6C" w14:textId="77777777" w:rsidR="00DC6A1A" w:rsidRPr="00AE6BB1" w:rsidRDefault="00DC6A1A" w:rsidP="00AE6BB1">
      <w:pPr>
        <w:pStyle w:val="ListParagraph"/>
        <w:numPr>
          <w:ilvl w:val="0"/>
          <w:numId w:val="14"/>
        </w:numPr>
        <w:rPr>
          <w:rFonts w:ascii="Aptos" w:hAnsi="Aptos"/>
        </w:rPr>
      </w:pPr>
      <w:r w:rsidRPr="00AE6BB1">
        <w:rPr>
          <w:rFonts w:ascii="Aptos" w:hAnsi="Aptos"/>
        </w:rPr>
        <w:t>Set out shared governance for risk, safeguarding, data protection, referral pathways and accountability.</w:t>
      </w:r>
    </w:p>
    <w:p w14:paraId="0992A06E" w14:textId="77777777" w:rsidR="00DC6A1A" w:rsidRPr="00AE6BB1" w:rsidRDefault="00DC6A1A" w:rsidP="00AE6BB1">
      <w:pPr>
        <w:pStyle w:val="ListParagraph"/>
        <w:numPr>
          <w:ilvl w:val="0"/>
          <w:numId w:val="14"/>
        </w:numPr>
        <w:rPr>
          <w:rFonts w:ascii="Aptos" w:hAnsi="Aptos"/>
        </w:rPr>
      </w:pPr>
      <w:r w:rsidRPr="00AE6BB1">
        <w:rPr>
          <w:rFonts w:ascii="Aptos" w:hAnsi="Aptos"/>
        </w:rPr>
        <w:t>Confirm whether current implementation timescales are realistic or require adjustment.</w:t>
      </w:r>
    </w:p>
    <w:p w14:paraId="7268CC03" w14:textId="77777777" w:rsidR="00DC6A1A" w:rsidRPr="00AE6BB1" w:rsidRDefault="00DC6A1A" w:rsidP="00AE6BB1">
      <w:pPr>
        <w:rPr>
          <w:rFonts w:ascii="Aptos" w:hAnsi="Aptos"/>
          <w:b/>
          <w:bCs/>
          <w:lang w:eastAsia="en-GB"/>
        </w:rPr>
      </w:pPr>
      <w:r w:rsidRPr="00AE6BB1">
        <w:rPr>
          <w:rFonts w:ascii="Aptos" w:hAnsi="Aptos"/>
          <w:b/>
          <w:bCs/>
        </w:rPr>
        <w:t>Immediate next steps</w:t>
      </w:r>
    </w:p>
    <w:p w14:paraId="4468D8C2" w14:textId="77777777" w:rsidR="00DC6A1A" w:rsidRPr="00AE6BB1" w:rsidRDefault="00DC6A1A" w:rsidP="00AE6BB1">
      <w:pPr>
        <w:pStyle w:val="ListParagraph"/>
        <w:numPr>
          <w:ilvl w:val="0"/>
          <w:numId w:val="15"/>
        </w:numPr>
        <w:rPr>
          <w:rFonts w:ascii="Aptos" w:hAnsi="Aptos"/>
          <w:lang w:eastAsia="en-GB"/>
        </w:rPr>
      </w:pPr>
      <w:r w:rsidRPr="00AE6BB1">
        <w:rPr>
          <w:rFonts w:ascii="Aptos" w:hAnsi="Aptos"/>
        </w:rPr>
        <w:t>Use the workshop feedback to refine the proposed model into a draft regional implementation framework.</w:t>
      </w:r>
    </w:p>
    <w:p w14:paraId="05506EE2" w14:textId="77777777" w:rsidR="00DC6A1A" w:rsidRPr="00AE6BB1" w:rsidRDefault="00DC6A1A" w:rsidP="00AE6BB1">
      <w:pPr>
        <w:pStyle w:val="ListParagraph"/>
        <w:numPr>
          <w:ilvl w:val="0"/>
          <w:numId w:val="15"/>
        </w:numPr>
        <w:rPr>
          <w:rFonts w:ascii="Aptos" w:hAnsi="Aptos"/>
        </w:rPr>
      </w:pPr>
      <w:r w:rsidRPr="00AE6BB1">
        <w:rPr>
          <w:rFonts w:ascii="Aptos" w:hAnsi="Aptos"/>
        </w:rPr>
        <w:lastRenderedPageBreak/>
        <w:t>Convene targeted follow-up engagement with VCSE stakeholders to test the blended networked/hybrid approach.</w:t>
      </w:r>
    </w:p>
    <w:p w14:paraId="79BA96DC" w14:textId="77777777" w:rsidR="00DC6A1A" w:rsidRPr="00AE6BB1" w:rsidRDefault="00DC6A1A" w:rsidP="00AE6BB1">
      <w:pPr>
        <w:pStyle w:val="ListParagraph"/>
        <w:numPr>
          <w:ilvl w:val="0"/>
          <w:numId w:val="15"/>
        </w:numPr>
        <w:rPr>
          <w:rFonts w:ascii="Aptos" w:hAnsi="Aptos"/>
        </w:rPr>
      </w:pPr>
      <w:r w:rsidRPr="00AE6BB1">
        <w:rPr>
          <w:rFonts w:ascii="Aptos" w:hAnsi="Aptos"/>
        </w:rPr>
        <w:t>Commission or undertake local mapping across each INT area before confirming anchor arrangements.</w:t>
      </w:r>
    </w:p>
    <w:p w14:paraId="063A700F" w14:textId="77777777" w:rsidR="00DC6A1A" w:rsidRPr="00AE6BB1" w:rsidRDefault="00DC6A1A" w:rsidP="00AE6BB1">
      <w:pPr>
        <w:pStyle w:val="ListParagraph"/>
        <w:numPr>
          <w:ilvl w:val="0"/>
          <w:numId w:val="15"/>
        </w:numPr>
        <w:rPr>
          <w:rFonts w:ascii="Aptos" w:hAnsi="Aptos"/>
        </w:rPr>
      </w:pPr>
      <w:r w:rsidRPr="00AE6BB1">
        <w:rPr>
          <w:rFonts w:ascii="Aptos" w:hAnsi="Aptos"/>
        </w:rPr>
        <w:t>Develop draft role descriptions, mandate arrangements, governance requirements and selection principles.</w:t>
      </w:r>
    </w:p>
    <w:p w14:paraId="0AE9A5ED" w14:textId="77777777" w:rsidR="00DC6A1A" w:rsidRPr="00AE6BB1" w:rsidRDefault="00DC6A1A" w:rsidP="00AE6BB1">
      <w:pPr>
        <w:pStyle w:val="ListParagraph"/>
        <w:numPr>
          <w:ilvl w:val="0"/>
          <w:numId w:val="15"/>
        </w:numPr>
        <w:rPr>
          <w:rFonts w:ascii="Aptos" w:hAnsi="Aptos"/>
        </w:rPr>
      </w:pPr>
      <w:r w:rsidRPr="00AE6BB1">
        <w:rPr>
          <w:rFonts w:ascii="Aptos" w:hAnsi="Aptos"/>
        </w:rPr>
        <w:t>Confirm funding assumptions, including whether additional programme and coordination costs are required.</w:t>
      </w:r>
    </w:p>
    <w:p w14:paraId="408F2A99" w14:textId="77777777" w:rsidR="00DC6A1A" w:rsidRPr="00AE6BB1" w:rsidRDefault="00DC6A1A" w:rsidP="00AE6BB1">
      <w:pPr>
        <w:pStyle w:val="ListParagraph"/>
        <w:numPr>
          <w:ilvl w:val="0"/>
          <w:numId w:val="15"/>
        </w:numPr>
        <w:rPr>
          <w:rFonts w:ascii="Aptos" w:hAnsi="Aptos"/>
        </w:rPr>
      </w:pPr>
      <w:r w:rsidRPr="00AE6BB1">
        <w:rPr>
          <w:rFonts w:ascii="Aptos" w:hAnsi="Aptos"/>
        </w:rPr>
        <w:t>Agree a phased test-and-learn approach with clear review points before full implementation.</w:t>
      </w:r>
    </w:p>
    <w:p w14:paraId="46CF6ACB" w14:textId="77777777" w:rsidR="007921ED" w:rsidRPr="00AE6BB1" w:rsidRDefault="007921ED" w:rsidP="00AE6BB1">
      <w:pPr>
        <w:rPr>
          <w:rFonts w:ascii="Aptos" w:hAnsi="Aptos"/>
          <w:b/>
          <w:bCs/>
          <w:lang w:eastAsia="en-GB"/>
        </w:rPr>
      </w:pPr>
      <w:r w:rsidRPr="00AE6BB1">
        <w:rPr>
          <w:rFonts w:ascii="Aptos" w:hAnsi="Aptos"/>
          <w:b/>
          <w:bCs/>
        </w:rPr>
        <w:t>Ask of decision-makers</w:t>
      </w:r>
    </w:p>
    <w:p w14:paraId="3535B88A" w14:textId="77777777" w:rsidR="007921ED" w:rsidRPr="00AE6BB1" w:rsidRDefault="007921ED" w:rsidP="00AE6BB1">
      <w:pPr>
        <w:rPr>
          <w:rFonts w:ascii="Aptos" w:hAnsi="Aptos"/>
          <w:lang w:eastAsia="en-GB"/>
        </w:rPr>
      </w:pPr>
      <w:r w:rsidRPr="00AE6BB1">
        <w:rPr>
          <w:rFonts w:ascii="Aptos" w:hAnsi="Aptos"/>
        </w:rPr>
        <w:t>Decision-makers are asked to endorse the direction of travel towards a blended networked/hybrid VCSE Anchor model and to pause any move towards a single-organisation approach. Approval is sought to develop a regional implementation framework, undertake local VCSE infrastructure mapping, clarify the role, mandate and governance arrangements, and confirm a resource envelope that reflects full cost recovery and the support infrastructure required across all 17 INT areas.</w:t>
      </w:r>
    </w:p>
    <w:p w14:paraId="6E781471" w14:textId="77777777" w:rsidR="007921ED" w:rsidRPr="00AE6BB1" w:rsidRDefault="007921ED" w:rsidP="00AE6BB1">
      <w:pPr>
        <w:rPr>
          <w:rFonts w:ascii="Aptos" w:hAnsi="Aptos"/>
          <w:lang w:eastAsia="en-GB"/>
        </w:rPr>
      </w:pPr>
      <w:r w:rsidRPr="00AE6BB1">
        <w:rPr>
          <w:rFonts w:ascii="Aptos" w:hAnsi="Aptos"/>
        </w:rPr>
        <w:t>Decision-makers are also asked to agree that implementation should proceed through a phased test-and-learn approach, with clear review points and further VCSE engagement before recruitment or roll-out proceeds at pace.</w:t>
      </w:r>
    </w:p>
    <w:p w14:paraId="1AE4B25E" w14:textId="77777777" w:rsidR="00EF7609" w:rsidRPr="00AE6BB1" w:rsidRDefault="00EF7609" w:rsidP="00AE6BB1">
      <w:pPr>
        <w:rPr>
          <w:rFonts w:ascii="Aptos" w:hAnsi="Aptos"/>
          <w:b/>
          <w:bCs/>
          <w:lang w:eastAsia="en-GB"/>
        </w:rPr>
      </w:pPr>
      <w:r w:rsidRPr="00AE6BB1">
        <w:rPr>
          <w:rFonts w:ascii="Aptos" w:hAnsi="Aptos"/>
          <w:b/>
          <w:bCs/>
        </w:rPr>
        <w:t>Key risks and mitigation strategies</w:t>
      </w:r>
    </w:p>
    <w:tbl>
      <w:tblPr>
        <w:tblStyle w:val="GridTable4-Accent1"/>
        <w:tblW w:w="5000" w:type="pct"/>
        <w:tblLook w:val="04A0" w:firstRow="1" w:lastRow="0" w:firstColumn="1" w:lastColumn="0" w:noHBand="0" w:noVBand="1"/>
      </w:tblPr>
      <w:tblGrid>
        <w:gridCol w:w="2487"/>
        <w:gridCol w:w="3218"/>
        <w:gridCol w:w="3311"/>
      </w:tblGrid>
      <w:tr w:rsidR="00EF7609" w:rsidRPr="00AE6BB1" w14:paraId="0918D2C1"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D142112" w14:textId="77777777" w:rsidR="00EF7609" w:rsidRPr="00AE6BB1" w:rsidRDefault="00EF7609" w:rsidP="00AE6BB1">
            <w:pPr>
              <w:rPr>
                <w:rFonts w:ascii="Aptos" w:hAnsi="Aptos"/>
                <w:sz w:val="24"/>
                <w:szCs w:val="24"/>
                <w:lang w:eastAsia="en-GB"/>
              </w:rPr>
            </w:pPr>
            <w:r w:rsidRPr="00AE6BB1">
              <w:rPr>
                <w:rFonts w:ascii="Aptos" w:hAnsi="Aptos"/>
                <w:sz w:val="24"/>
                <w:szCs w:val="24"/>
              </w:rPr>
              <w:t>Risk</w:t>
            </w:r>
          </w:p>
        </w:tc>
        <w:tc>
          <w:tcPr>
            <w:tcW w:w="0" w:type="auto"/>
            <w:hideMark/>
          </w:tcPr>
          <w:p w14:paraId="78458840" w14:textId="77777777" w:rsidR="00EF7609" w:rsidRPr="00AE6BB1" w:rsidRDefault="00EF7609" w:rsidP="00AE6BB1">
            <w:pPr>
              <w:cnfStyle w:val="100000000000" w:firstRow="1" w:lastRow="0" w:firstColumn="0" w:lastColumn="0" w:oddVBand="0" w:evenVBand="0" w:oddHBand="0" w:evenHBand="0" w:firstRowFirstColumn="0" w:firstRowLastColumn="0" w:lastRowFirstColumn="0" w:lastRowLastColumn="0"/>
              <w:rPr>
                <w:rFonts w:ascii="Aptos" w:hAnsi="Aptos"/>
                <w:sz w:val="24"/>
                <w:szCs w:val="24"/>
              </w:rPr>
            </w:pPr>
            <w:r w:rsidRPr="00AE6BB1">
              <w:rPr>
                <w:rFonts w:ascii="Aptos" w:hAnsi="Aptos"/>
                <w:sz w:val="24"/>
                <w:szCs w:val="24"/>
              </w:rPr>
              <w:t>Potential impact</w:t>
            </w:r>
          </w:p>
        </w:tc>
        <w:tc>
          <w:tcPr>
            <w:tcW w:w="0" w:type="auto"/>
            <w:hideMark/>
          </w:tcPr>
          <w:p w14:paraId="1E8901DA" w14:textId="77777777" w:rsidR="00EF7609" w:rsidRPr="00AE6BB1" w:rsidRDefault="00EF7609" w:rsidP="00AE6BB1">
            <w:pPr>
              <w:cnfStyle w:val="100000000000" w:firstRow="1" w:lastRow="0" w:firstColumn="0" w:lastColumn="0" w:oddVBand="0" w:evenVBand="0" w:oddHBand="0" w:evenHBand="0" w:firstRowFirstColumn="0" w:firstRowLastColumn="0" w:lastRowFirstColumn="0" w:lastRowLastColumn="0"/>
              <w:rPr>
                <w:rFonts w:ascii="Aptos" w:hAnsi="Aptos"/>
                <w:sz w:val="24"/>
                <w:szCs w:val="24"/>
              </w:rPr>
            </w:pPr>
            <w:r w:rsidRPr="00AE6BB1">
              <w:rPr>
                <w:rFonts w:ascii="Aptos" w:hAnsi="Aptos"/>
                <w:sz w:val="24"/>
                <w:szCs w:val="24"/>
              </w:rPr>
              <w:t>Mitigation strategy</w:t>
            </w:r>
          </w:p>
        </w:tc>
      </w:tr>
      <w:tr w:rsidR="00EF7609" w:rsidRPr="00AE6BB1" w14:paraId="660AD7C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859DF54" w14:textId="77777777" w:rsidR="00EF7609" w:rsidRPr="00AE6BB1" w:rsidRDefault="00EF7609" w:rsidP="00AE6BB1">
            <w:pPr>
              <w:rPr>
                <w:rFonts w:ascii="Aptos" w:hAnsi="Aptos"/>
                <w:sz w:val="24"/>
                <w:szCs w:val="24"/>
              </w:rPr>
            </w:pPr>
            <w:r w:rsidRPr="00AE6BB1">
              <w:rPr>
                <w:rFonts w:ascii="Aptos" w:hAnsi="Aptos"/>
                <w:sz w:val="24"/>
                <w:szCs w:val="24"/>
              </w:rPr>
              <w:t>Single-organisation model is progressed despite stakeholder concerns.</w:t>
            </w:r>
          </w:p>
        </w:tc>
        <w:tc>
          <w:tcPr>
            <w:tcW w:w="0" w:type="auto"/>
            <w:hideMark/>
          </w:tcPr>
          <w:p w14:paraId="4AD9493F" w14:textId="77777777" w:rsidR="00EF7609" w:rsidRPr="00AE6BB1" w:rsidRDefault="00EF7609" w:rsidP="00AE6BB1">
            <w:pPr>
              <w:cnfStyle w:val="000000100000" w:firstRow="0" w:lastRow="0" w:firstColumn="0" w:lastColumn="0" w:oddVBand="0" w:evenVBand="0" w:oddHBand="1" w:evenHBand="0" w:firstRowFirstColumn="0" w:firstRowLastColumn="0" w:lastRowFirstColumn="0" w:lastRowLastColumn="0"/>
              <w:rPr>
                <w:rFonts w:ascii="Aptos" w:hAnsi="Aptos"/>
                <w:sz w:val="24"/>
                <w:szCs w:val="24"/>
              </w:rPr>
            </w:pPr>
            <w:r w:rsidRPr="00AE6BB1">
              <w:rPr>
                <w:rFonts w:ascii="Aptos" w:hAnsi="Aptos"/>
                <w:sz w:val="24"/>
                <w:szCs w:val="24"/>
              </w:rPr>
              <w:t>Loss of VCSE confidence, perceived gatekeeping, competition between organisations and limited local legitimacy.</w:t>
            </w:r>
          </w:p>
        </w:tc>
        <w:tc>
          <w:tcPr>
            <w:tcW w:w="0" w:type="auto"/>
            <w:hideMark/>
          </w:tcPr>
          <w:p w14:paraId="0CDBC46A" w14:textId="77777777" w:rsidR="00EF7609" w:rsidRPr="00AE6BB1" w:rsidRDefault="00EF7609" w:rsidP="00AE6BB1">
            <w:pPr>
              <w:cnfStyle w:val="000000100000" w:firstRow="0" w:lastRow="0" w:firstColumn="0" w:lastColumn="0" w:oddVBand="0" w:evenVBand="0" w:oddHBand="1" w:evenHBand="0" w:firstRowFirstColumn="0" w:firstRowLastColumn="0" w:lastRowFirstColumn="0" w:lastRowLastColumn="0"/>
              <w:rPr>
                <w:rFonts w:ascii="Aptos" w:hAnsi="Aptos"/>
                <w:sz w:val="24"/>
                <w:szCs w:val="24"/>
              </w:rPr>
            </w:pPr>
            <w:r w:rsidRPr="00AE6BB1">
              <w:rPr>
                <w:rFonts w:ascii="Aptos" w:hAnsi="Aptos"/>
                <w:sz w:val="24"/>
                <w:szCs w:val="24"/>
              </w:rPr>
              <w:t>Pause the single-organisation option and confirm a blended networked/hybrid model as the preferred direction, subject to further testing with VCSE stakeholders.</w:t>
            </w:r>
          </w:p>
        </w:tc>
      </w:tr>
      <w:tr w:rsidR="00EF7609" w:rsidRPr="00AE6BB1" w14:paraId="67826553"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4904826C" w14:textId="77777777" w:rsidR="00EF7609" w:rsidRPr="00AE6BB1" w:rsidRDefault="00EF7609" w:rsidP="00AE6BB1">
            <w:pPr>
              <w:rPr>
                <w:rFonts w:ascii="Aptos" w:hAnsi="Aptos"/>
                <w:sz w:val="24"/>
                <w:szCs w:val="24"/>
              </w:rPr>
            </w:pPr>
            <w:r w:rsidRPr="00AE6BB1">
              <w:rPr>
                <w:rFonts w:ascii="Aptos" w:hAnsi="Aptos"/>
                <w:sz w:val="24"/>
                <w:szCs w:val="24"/>
              </w:rPr>
              <w:t>Role remains unclear or too broad.</w:t>
            </w:r>
          </w:p>
        </w:tc>
        <w:tc>
          <w:tcPr>
            <w:tcW w:w="0" w:type="auto"/>
            <w:hideMark/>
          </w:tcPr>
          <w:p w14:paraId="4D0C4B9D" w14:textId="77777777" w:rsidR="00EF7609" w:rsidRPr="00AE6BB1" w:rsidRDefault="00EF7609" w:rsidP="00AE6BB1">
            <w:pPr>
              <w:cnfStyle w:val="000000000000" w:firstRow="0" w:lastRow="0" w:firstColumn="0" w:lastColumn="0" w:oddVBand="0" w:evenVBand="0" w:oddHBand="0" w:evenHBand="0" w:firstRowFirstColumn="0" w:firstRowLastColumn="0" w:lastRowFirstColumn="0" w:lastRowLastColumn="0"/>
              <w:rPr>
                <w:rFonts w:ascii="Aptos" w:hAnsi="Aptos"/>
                <w:sz w:val="24"/>
                <w:szCs w:val="24"/>
              </w:rPr>
            </w:pPr>
            <w:r w:rsidRPr="00AE6BB1">
              <w:rPr>
                <w:rFonts w:ascii="Aptos" w:hAnsi="Aptos"/>
                <w:sz w:val="24"/>
                <w:szCs w:val="24"/>
              </w:rPr>
              <w:t>Unrealistic expectations, inconsistent delivery across INT areas and difficulty recruiting or mandating appropriate anchors.</w:t>
            </w:r>
          </w:p>
        </w:tc>
        <w:tc>
          <w:tcPr>
            <w:tcW w:w="0" w:type="auto"/>
            <w:hideMark/>
          </w:tcPr>
          <w:p w14:paraId="6BBDB2D4" w14:textId="77777777" w:rsidR="00EF7609" w:rsidRPr="00AE6BB1" w:rsidRDefault="00EF7609" w:rsidP="00AE6BB1">
            <w:pPr>
              <w:cnfStyle w:val="000000000000" w:firstRow="0" w:lastRow="0" w:firstColumn="0" w:lastColumn="0" w:oddVBand="0" w:evenVBand="0" w:oddHBand="0" w:evenHBand="0" w:firstRowFirstColumn="0" w:firstRowLastColumn="0" w:lastRowFirstColumn="0" w:lastRowLastColumn="0"/>
              <w:rPr>
                <w:rFonts w:ascii="Aptos" w:hAnsi="Aptos"/>
                <w:sz w:val="24"/>
                <w:szCs w:val="24"/>
              </w:rPr>
            </w:pPr>
            <w:r w:rsidRPr="00AE6BB1">
              <w:rPr>
                <w:rFonts w:ascii="Aptos" w:hAnsi="Aptos"/>
                <w:sz w:val="24"/>
                <w:szCs w:val="24"/>
              </w:rPr>
              <w:t>Develop a clear role description, person specification and operating framework that define purpose, scope, authority, limits and accountability.</w:t>
            </w:r>
          </w:p>
        </w:tc>
      </w:tr>
      <w:tr w:rsidR="00EF7609" w:rsidRPr="00AE6BB1" w14:paraId="77EDE6E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0761A2A" w14:textId="77777777" w:rsidR="00EF7609" w:rsidRPr="00AE6BB1" w:rsidRDefault="00EF7609" w:rsidP="00AE6BB1">
            <w:pPr>
              <w:rPr>
                <w:rFonts w:ascii="Aptos" w:hAnsi="Aptos"/>
                <w:sz w:val="24"/>
                <w:szCs w:val="24"/>
              </w:rPr>
            </w:pPr>
            <w:r w:rsidRPr="00AE6BB1">
              <w:rPr>
                <w:rFonts w:ascii="Aptos" w:hAnsi="Aptos"/>
                <w:sz w:val="24"/>
                <w:szCs w:val="24"/>
              </w:rPr>
              <w:t>Anchor lacks mandate from the wider VCSE sector.</w:t>
            </w:r>
          </w:p>
        </w:tc>
        <w:tc>
          <w:tcPr>
            <w:tcW w:w="0" w:type="auto"/>
            <w:hideMark/>
          </w:tcPr>
          <w:p w14:paraId="1DD67E26" w14:textId="77777777" w:rsidR="00EF7609" w:rsidRPr="00AE6BB1" w:rsidRDefault="00EF7609" w:rsidP="00AE6BB1">
            <w:pPr>
              <w:cnfStyle w:val="000000100000" w:firstRow="0" w:lastRow="0" w:firstColumn="0" w:lastColumn="0" w:oddVBand="0" w:evenVBand="0" w:oddHBand="1" w:evenHBand="0" w:firstRowFirstColumn="0" w:firstRowLastColumn="0" w:lastRowFirstColumn="0" w:lastRowLastColumn="0"/>
              <w:rPr>
                <w:rFonts w:ascii="Aptos" w:hAnsi="Aptos"/>
                <w:sz w:val="24"/>
                <w:szCs w:val="24"/>
              </w:rPr>
            </w:pPr>
            <w:r w:rsidRPr="00AE6BB1">
              <w:rPr>
                <w:rFonts w:ascii="Aptos" w:hAnsi="Aptos"/>
                <w:sz w:val="24"/>
                <w:szCs w:val="24"/>
              </w:rPr>
              <w:t>Weak representation, limited trust from local organisations and reduced ability to feed community intelligence into INT decision-making.</w:t>
            </w:r>
          </w:p>
        </w:tc>
        <w:tc>
          <w:tcPr>
            <w:tcW w:w="0" w:type="auto"/>
            <w:hideMark/>
          </w:tcPr>
          <w:p w14:paraId="48B236D2" w14:textId="77777777" w:rsidR="00EF7609" w:rsidRPr="00AE6BB1" w:rsidRDefault="00EF7609" w:rsidP="00AE6BB1">
            <w:pPr>
              <w:cnfStyle w:val="000000100000" w:firstRow="0" w:lastRow="0" w:firstColumn="0" w:lastColumn="0" w:oddVBand="0" w:evenVBand="0" w:oddHBand="1" w:evenHBand="0" w:firstRowFirstColumn="0" w:firstRowLastColumn="0" w:lastRowFirstColumn="0" w:lastRowLastColumn="0"/>
              <w:rPr>
                <w:rFonts w:ascii="Aptos" w:hAnsi="Aptos"/>
                <w:sz w:val="24"/>
                <w:szCs w:val="24"/>
              </w:rPr>
            </w:pPr>
            <w:r w:rsidRPr="00AE6BB1">
              <w:rPr>
                <w:rFonts w:ascii="Aptos" w:hAnsi="Aptos"/>
                <w:sz w:val="24"/>
                <w:szCs w:val="24"/>
              </w:rPr>
              <w:t>Create transparent local selection and mandate arrangements, with evidence of wider VCSE support and clear feedback mechanisms.</w:t>
            </w:r>
          </w:p>
        </w:tc>
      </w:tr>
      <w:tr w:rsidR="00EF7609" w:rsidRPr="00AE6BB1" w14:paraId="30D47017"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7CC06390" w14:textId="77777777" w:rsidR="00EF7609" w:rsidRPr="00AE6BB1" w:rsidRDefault="00EF7609" w:rsidP="00AE6BB1">
            <w:pPr>
              <w:rPr>
                <w:rFonts w:ascii="Aptos" w:hAnsi="Aptos"/>
                <w:sz w:val="24"/>
                <w:szCs w:val="24"/>
              </w:rPr>
            </w:pPr>
            <w:r w:rsidRPr="00AE6BB1">
              <w:rPr>
                <w:rFonts w:ascii="Aptos" w:hAnsi="Aptos"/>
                <w:sz w:val="24"/>
                <w:szCs w:val="24"/>
              </w:rPr>
              <w:lastRenderedPageBreak/>
              <w:t>Insufficient funding or capacity.</w:t>
            </w:r>
          </w:p>
        </w:tc>
        <w:tc>
          <w:tcPr>
            <w:tcW w:w="0" w:type="auto"/>
            <w:hideMark/>
          </w:tcPr>
          <w:p w14:paraId="7BB8934E" w14:textId="77777777" w:rsidR="00EF7609" w:rsidRPr="00AE6BB1" w:rsidRDefault="00EF7609" w:rsidP="00AE6BB1">
            <w:pPr>
              <w:cnfStyle w:val="000000000000" w:firstRow="0" w:lastRow="0" w:firstColumn="0" w:lastColumn="0" w:oddVBand="0" w:evenVBand="0" w:oddHBand="0" w:evenHBand="0" w:firstRowFirstColumn="0" w:firstRowLastColumn="0" w:lastRowFirstColumn="0" w:lastRowLastColumn="0"/>
              <w:rPr>
                <w:rFonts w:ascii="Aptos" w:hAnsi="Aptos"/>
                <w:sz w:val="24"/>
                <w:szCs w:val="24"/>
              </w:rPr>
            </w:pPr>
            <w:r w:rsidRPr="00AE6BB1">
              <w:rPr>
                <w:rFonts w:ascii="Aptos" w:hAnsi="Aptos"/>
                <w:sz w:val="24"/>
                <w:szCs w:val="24"/>
              </w:rPr>
              <w:t>The role becomes tokenistic, focused on meeting attendance rather than convening, engagement, preparation, feedback and strategic contribution.</w:t>
            </w:r>
          </w:p>
        </w:tc>
        <w:tc>
          <w:tcPr>
            <w:tcW w:w="0" w:type="auto"/>
            <w:hideMark/>
          </w:tcPr>
          <w:p w14:paraId="72F80B3F" w14:textId="77777777" w:rsidR="00EF7609" w:rsidRPr="00AE6BB1" w:rsidRDefault="00EF7609" w:rsidP="00AE6BB1">
            <w:pPr>
              <w:cnfStyle w:val="000000000000" w:firstRow="0" w:lastRow="0" w:firstColumn="0" w:lastColumn="0" w:oddVBand="0" w:evenVBand="0" w:oddHBand="0" w:evenHBand="0" w:firstRowFirstColumn="0" w:firstRowLastColumn="0" w:lastRowFirstColumn="0" w:lastRowLastColumn="0"/>
              <w:rPr>
                <w:rFonts w:ascii="Aptos" w:hAnsi="Aptos"/>
                <w:sz w:val="24"/>
                <w:szCs w:val="24"/>
              </w:rPr>
            </w:pPr>
            <w:r w:rsidRPr="00AE6BB1">
              <w:rPr>
                <w:rFonts w:ascii="Aptos" w:hAnsi="Aptos"/>
                <w:sz w:val="24"/>
                <w:szCs w:val="24"/>
              </w:rPr>
              <w:t>Fund the anchor function on a full cost recovery basis, including backfill, administration, travel, overheads, training, convening and peer support.</w:t>
            </w:r>
          </w:p>
        </w:tc>
      </w:tr>
      <w:tr w:rsidR="00EF7609" w:rsidRPr="00AE6BB1" w14:paraId="308962A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0DCF41A" w14:textId="77777777" w:rsidR="00EF7609" w:rsidRPr="00AE6BB1" w:rsidRDefault="00EF7609" w:rsidP="00AE6BB1">
            <w:pPr>
              <w:rPr>
                <w:rFonts w:ascii="Aptos" w:hAnsi="Aptos"/>
                <w:sz w:val="24"/>
                <w:szCs w:val="24"/>
              </w:rPr>
            </w:pPr>
            <w:r w:rsidRPr="00AE6BB1">
              <w:rPr>
                <w:rFonts w:ascii="Aptos" w:hAnsi="Aptos"/>
                <w:sz w:val="24"/>
                <w:szCs w:val="24"/>
              </w:rPr>
              <w:t>Local variation leads to inconsistency or inequity.</w:t>
            </w:r>
          </w:p>
        </w:tc>
        <w:tc>
          <w:tcPr>
            <w:tcW w:w="0" w:type="auto"/>
            <w:hideMark/>
          </w:tcPr>
          <w:p w14:paraId="178D69CE" w14:textId="77777777" w:rsidR="00EF7609" w:rsidRPr="00AE6BB1" w:rsidRDefault="00EF7609" w:rsidP="00AE6BB1">
            <w:pPr>
              <w:cnfStyle w:val="000000100000" w:firstRow="0" w:lastRow="0" w:firstColumn="0" w:lastColumn="0" w:oddVBand="0" w:evenVBand="0" w:oddHBand="1" w:evenHBand="0" w:firstRowFirstColumn="0" w:firstRowLastColumn="0" w:lastRowFirstColumn="0" w:lastRowLastColumn="0"/>
              <w:rPr>
                <w:rFonts w:ascii="Aptos" w:hAnsi="Aptos"/>
                <w:sz w:val="24"/>
                <w:szCs w:val="24"/>
              </w:rPr>
            </w:pPr>
            <w:r w:rsidRPr="00AE6BB1">
              <w:rPr>
                <w:rFonts w:ascii="Aptos" w:hAnsi="Aptos"/>
                <w:sz w:val="24"/>
                <w:szCs w:val="24"/>
              </w:rPr>
              <w:t>Different areas may receive different levels of VCSE input, support and influence, particularly where local infrastructure is weaker.</w:t>
            </w:r>
          </w:p>
        </w:tc>
        <w:tc>
          <w:tcPr>
            <w:tcW w:w="0" w:type="auto"/>
            <w:hideMark/>
          </w:tcPr>
          <w:p w14:paraId="2720CDF1" w14:textId="77777777" w:rsidR="00EF7609" w:rsidRPr="00AE6BB1" w:rsidRDefault="00EF7609" w:rsidP="00AE6BB1">
            <w:pPr>
              <w:cnfStyle w:val="000000100000" w:firstRow="0" w:lastRow="0" w:firstColumn="0" w:lastColumn="0" w:oddVBand="0" w:evenVBand="0" w:oddHBand="1" w:evenHBand="0" w:firstRowFirstColumn="0" w:firstRowLastColumn="0" w:lastRowFirstColumn="0" w:lastRowLastColumn="0"/>
              <w:rPr>
                <w:rFonts w:ascii="Aptos" w:hAnsi="Aptos"/>
                <w:sz w:val="24"/>
                <w:szCs w:val="24"/>
              </w:rPr>
            </w:pPr>
            <w:r w:rsidRPr="00AE6BB1">
              <w:rPr>
                <w:rFonts w:ascii="Aptos" w:hAnsi="Aptos"/>
                <w:sz w:val="24"/>
                <w:szCs w:val="24"/>
              </w:rPr>
              <w:t>Use a common regional framework with minimum standards, while allowing local adaptation based on mapping of each INT area.</w:t>
            </w:r>
          </w:p>
        </w:tc>
      </w:tr>
      <w:tr w:rsidR="00EF7609" w:rsidRPr="00AE6BB1" w14:paraId="6E4757CF"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219B75AB" w14:textId="77777777" w:rsidR="00EF7609" w:rsidRPr="00AE6BB1" w:rsidRDefault="00EF7609" w:rsidP="00AE6BB1">
            <w:pPr>
              <w:rPr>
                <w:rFonts w:ascii="Aptos" w:hAnsi="Aptos"/>
                <w:sz w:val="24"/>
                <w:szCs w:val="24"/>
              </w:rPr>
            </w:pPr>
            <w:r w:rsidRPr="00AE6BB1">
              <w:rPr>
                <w:rFonts w:ascii="Aptos" w:hAnsi="Aptos"/>
                <w:sz w:val="24"/>
                <w:szCs w:val="24"/>
              </w:rPr>
              <w:t>Existing VCSE networks and assets are duplicated or bypassed.</w:t>
            </w:r>
          </w:p>
        </w:tc>
        <w:tc>
          <w:tcPr>
            <w:tcW w:w="0" w:type="auto"/>
            <w:hideMark/>
          </w:tcPr>
          <w:p w14:paraId="63FDED65" w14:textId="77777777" w:rsidR="00EF7609" w:rsidRPr="00AE6BB1" w:rsidRDefault="00EF7609" w:rsidP="00AE6BB1">
            <w:pPr>
              <w:cnfStyle w:val="000000000000" w:firstRow="0" w:lastRow="0" w:firstColumn="0" w:lastColumn="0" w:oddVBand="0" w:evenVBand="0" w:oddHBand="0" w:evenHBand="0" w:firstRowFirstColumn="0" w:firstRowLastColumn="0" w:lastRowFirstColumn="0" w:lastRowLastColumn="0"/>
              <w:rPr>
                <w:rFonts w:ascii="Aptos" w:hAnsi="Aptos"/>
                <w:sz w:val="24"/>
                <w:szCs w:val="24"/>
              </w:rPr>
            </w:pPr>
            <w:r w:rsidRPr="00AE6BB1">
              <w:rPr>
                <w:rFonts w:ascii="Aptos" w:hAnsi="Aptos"/>
                <w:sz w:val="24"/>
                <w:szCs w:val="24"/>
              </w:rPr>
              <w:t>Fragmentation, duplication of effort and reduced buy-in from established local and regional networks.</w:t>
            </w:r>
          </w:p>
        </w:tc>
        <w:tc>
          <w:tcPr>
            <w:tcW w:w="0" w:type="auto"/>
            <w:hideMark/>
          </w:tcPr>
          <w:p w14:paraId="1F893873" w14:textId="77777777" w:rsidR="00EF7609" w:rsidRPr="00AE6BB1" w:rsidRDefault="00EF7609" w:rsidP="00AE6BB1">
            <w:pPr>
              <w:cnfStyle w:val="000000000000" w:firstRow="0" w:lastRow="0" w:firstColumn="0" w:lastColumn="0" w:oddVBand="0" w:evenVBand="0" w:oddHBand="0" w:evenHBand="0" w:firstRowFirstColumn="0" w:firstRowLastColumn="0" w:lastRowFirstColumn="0" w:lastRowLastColumn="0"/>
              <w:rPr>
                <w:rFonts w:ascii="Aptos" w:hAnsi="Aptos"/>
                <w:sz w:val="24"/>
                <w:szCs w:val="24"/>
              </w:rPr>
            </w:pPr>
            <w:r w:rsidRPr="00AE6BB1">
              <w:rPr>
                <w:rFonts w:ascii="Aptos" w:hAnsi="Aptos"/>
                <w:sz w:val="24"/>
                <w:szCs w:val="24"/>
              </w:rPr>
              <w:t>Undertake local infrastructure mapping and build the model around existing VCSE networks, directories, community assets and partnership structures.</w:t>
            </w:r>
          </w:p>
        </w:tc>
      </w:tr>
      <w:tr w:rsidR="00EF7609" w:rsidRPr="00AE6BB1" w14:paraId="1DF0F83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2009DB4" w14:textId="77777777" w:rsidR="00EF7609" w:rsidRPr="00AE6BB1" w:rsidRDefault="00EF7609" w:rsidP="00AE6BB1">
            <w:pPr>
              <w:rPr>
                <w:rFonts w:ascii="Aptos" w:hAnsi="Aptos"/>
                <w:sz w:val="24"/>
                <w:szCs w:val="24"/>
              </w:rPr>
            </w:pPr>
            <w:r w:rsidRPr="00AE6BB1">
              <w:rPr>
                <w:rFonts w:ascii="Aptos" w:hAnsi="Aptos"/>
                <w:sz w:val="24"/>
                <w:szCs w:val="24"/>
              </w:rPr>
              <w:t>Risk, safeguarding, data protection and referral expectations are unclear.</w:t>
            </w:r>
          </w:p>
        </w:tc>
        <w:tc>
          <w:tcPr>
            <w:tcW w:w="0" w:type="auto"/>
            <w:hideMark/>
          </w:tcPr>
          <w:p w14:paraId="2CAEE5D2" w14:textId="77777777" w:rsidR="00EF7609" w:rsidRPr="00AE6BB1" w:rsidRDefault="00EF7609" w:rsidP="00AE6BB1">
            <w:pPr>
              <w:cnfStyle w:val="000000100000" w:firstRow="0" w:lastRow="0" w:firstColumn="0" w:lastColumn="0" w:oddVBand="0" w:evenVBand="0" w:oddHBand="1" w:evenHBand="0" w:firstRowFirstColumn="0" w:firstRowLastColumn="0" w:lastRowFirstColumn="0" w:lastRowLastColumn="0"/>
              <w:rPr>
                <w:rFonts w:ascii="Aptos" w:hAnsi="Aptos"/>
                <w:sz w:val="24"/>
                <w:szCs w:val="24"/>
              </w:rPr>
            </w:pPr>
            <w:r w:rsidRPr="00AE6BB1">
              <w:rPr>
                <w:rFonts w:ascii="Aptos" w:hAnsi="Aptos"/>
                <w:sz w:val="24"/>
                <w:szCs w:val="24"/>
              </w:rPr>
              <w:t>Responsibilities may fall disproportionately on VCSE organisations, creating operational, reputational and governance risks.</w:t>
            </w:r>
          </w:p>
        </w:tc>
        <w:tc>
          <w:tcPr>
            <w:tcW w:w="0" w:type="auto"/>
            <w:hideMark/>
          </w:tcPr>
          <w:p w14:paraId="4CB3848D" w14:textId="77777777" w:rsidR="00EF7609" w:rsidRPr="00AE6BB1" w:rsidRDefault="00EF7609" w:rsidP="00AE6BB1">
            <w:pPr>
              <w:cnfStyle w:val="000000100000" w:firstRow="0" w:lastRow="0" w:firstColumn="0" w:lastColumn="0" w:oddVBand="0" w:evenVBand="0" w:oddHBand="1" w:evenHBand="0" w:firstRowFirstColumn="0" w:firstRowLastColumn="0" w:lastRowFirstColumn="0" w:lastRowLastColumn="0"/>
              <w:rPr>
                <w:rFonts w:ascii="Aptos" w:hAnsi="Aptos"/>
                <w:sz w:val="24"/>
                <w:szCs w:val="24"/>
              </w:rPr>
            </w:pPr>
            <w:r w:rsidRPr="00AE6BB1">
              <w:rPr>
                <w:rFonts w:ascii="Aptos" w:hAnsi="Aptos"/>
                <w:sz w:val="24"/>
                <w:szCs w:val="24"/>
              </w:rPr>
              <w:t>Set out shared governance arrangements across INT partners before implementation, including referral protocols, safeguarding, data protection and escalation routes.</w:t>
            </w:r>
          </w:p>
        </w:tc>
      </w:tr>
      <w:tr w:rsidR="00EF7609" w:rsidRPr="00AE6BB1" w14:paraId="14DD8DEE"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406EBAB5" w14:textId="77777777" w:rsidR="00EF7609" w:rsidRPr="00AE6BB1" w:rsidRDefault="00EF7609" w:rsidP="00AE6BB1">
            <w:pPr>
              <w:rPr>
                <w:rFonts w:ascii="Aptos" w:hAnsi="Aptos"/>
                <w:sz w:val="24"/>
                <w:szCs w:val="24"/>
              </w:rPr>
            </w:pPr>
            <w:r w:rsidRPr="00AE6BB1">
              <w:rPr>
                <w:rFonts w:ascii="Aptos" w:hAnsi="Aptos"/>
                <w:sz w:val="24"/>
                <w:szCs w:val="24"/>
              </w:rPr>
              <w:t>Implementation proceeds too quickly.</w:t>
            </w:r>
          </w:p>
        </w:tc>
        <w:tc>
          <w:tcPr>
            <w:tcW w:w="0" w:type="auto"/>
            <w:hideMark/>
          </w:tcPr>
          <w:p w14:paraId="72FD8718" w14:textId="77777777" w:rsidR="00EF7609" w:rsidRPr="00AE6BB1" w:rsidRDefault="00EF7609" w:rsidP="00AE6BB1">
            <w:pPr>
              <w:cnfStyle w:val="000000000000" w:firstRow="0" w:lastRow="0" w:firstColumn="0" w:lastColumn="0" w:oddVBand="0" w:evenVBand="0" w:oddHBand="0" w:evenHBand="0" w:firstRowFirstColumn="0" w:firstRowLastColumn="0" w:lastRowFirstColumn="0" w:lastRowLastColumn="0"/>
              <w:rPr>
                <w:rFonts w:ascii="Aptos" w:hAnsi="Aptos"/>
                <w:sz w:val="24"/>
                <w:szCs w:val="24"/>
              </w:rPr>
            </w:pPr>
            <w:r w:rsidRPr="00AE6BB1">
              <w:rPr>
                <w:rFonts w:ascii="Aptos" w:hAnsi="Aptos"/>
                <w:sz w:val="24"/>
                <w:szCs w:val="24"/>
              </w:rPr>
              <w:t>Model design, funding, role clarity and local legitimacy may not be sufficiently developed before recruitment or roll-out.</w:t>
            </w:r>
          </w:p>
        </w:tc>
        <w:tc>
          <w:tcPr>
            <w:tcW w:w="0" w:type="auto"/>
            <w:hideMark/>
          </w:tcPr>
          <w:p w14:paraId="03349FA7" w14:textId="77777777" w:rsidR="00EF7609" w:rsidRPr="00AE6BB1" w:rsidRDefault="00EF7609" w:rsidP="00AE6BB1">
            <w:pPr>
              <w:cnfStyle w:val="000000000000" w:firstRow="0" w:lastRow="0" w:firstColumn="0" w:lastColumn="0" w:oddVBand="0" w:evenVBand="0" w:oddHBand="0" w:evenHBand="0" w:firstRowFirstColumn="0" w:firstRowLastColumn="0" w:lastRowFirstColumn="0" w:lastRowLastColumn="0"/>
              <w:rPr>
                <w:rFonts w:ascii="Aptos" w:hAnsi="Aptos"/>
                <w:sz w:val="24"/>
                <w:szCs w:val="24"/>
              </w:rPr>
            </w:pPr>
            <w:r w:rsidRPr="00AE6BB1">
              <w:rPr>
                <w:rFonts w:ascii="Aptos" w:hAnsi="Aptos"/>
                <w:sz w:val="24"/>
                <w:szCs w:val="24"/>
              </w:rPr>
              <w:t>Adopt a phased test-and-learn approach with clear review points, further VCSE engagement and flexibility to adapt before wider implementation.</w:t>
            </w:r>
          </w:p>
        </w:tc>
      </w:tr>
    </w:tbl>
    <w:p w14:paraId="579935ED" w14:textId="77777777" w:rsidR="00EF7609" w:rsidRDefault="00EF7609">
      <w:pPr>
        <w:rPr>
          <w:lang w:eastAsia="en-GB"/>
        </w:rPr>
      </w:pPr>
    </w:p>
    <w:p w14:paraId="43C9BC10" w14:textId="41677425" w:rsidR="004543E3" w:rsidRDefault="004543E3" w:rsidP="00344FD9">
      <w:pPr>
        <w:rPr>
          <w:rStyle w:val="normaltextrun"/>
          <w:rFonts w:ascii="Aptos" w:hAnsi="Aptos"/>
          <w:color w:val="1F1F1F"/>
        </w:rPr>
      </w:pPr>
    </w:p>
    <w:sectPr w:rsidR="004543E3" w:rsidSect="006A767C">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F2067" w14:textId="77777777" w:rsidR="00882C2D" w:rsidRDefault="00882C2D" w:rsidP="006A767C">
      <w:pPr>
        <w:spacing w:after="0" w:line="240" w:lineRule="auto"/>
      </w:pPr>
      <w:r>
        <w:separator/>
      </w:r>
    </w:p>
  </w:endnote>
  <w:endnote w:type="continuationSeparator" w:id="0">
    <w:p w14:paraId="30EAAC62" w14:textId="77777777" w:rsidR="00882C2D" w:rsidRDefault="00882C2D" w:rsidP="006A76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5FB8B" w14:textId="77777777" w:rsidR="00F8442A" w:rsidRDefault="00F844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7997339"/>
      <w:docPartObj>
        <w:docPartGallery w:val="Page Numbers (Bottom of Page)"/>
        <w:docPartUnique/>
      </w:docPartObj>
    </w:sdtPr>
    <w:sdtEndPr/>
    <w:sdtContent>
      <w:sdt>
        <w:sdtPr>
          <w:id w:val="-1705238520"/>
          <w:docPartObj>
            <w:docPartGallery w:val="Page Numbers (Top of Page)"/>
            <w:docPartUnique/>
          </w:docPartObj>
        </w:sdtPr>
        <w:sdtEndPr/>
        <w:sdtContent>
          <w:p w14:paraId="2A2BCB98" w14:textId="19013D26" w:rsidR="000E43F6" w:rsidRDefault="000E43F6">
            <w:pPr>
              <w:pStyle w:val="Footer"/>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3F560CB6" w14:textId="77777777" w:rsidR="006C4968" w:rsidRDefault="006C49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0E1F7" w14:textId="77777777" w:rsidR="00F8442A" w:rsidRDefault="00F844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0B999" w14:textId="77777777" w:rsidR="00882C2D" w:rsidRDefault="00882C2D" w:rsidP="006A767C">
      <w:pPr>
        <w:spacing w:after="0" w:line="240" w:lineRule="auto"/>
      </w:pPr>
      <w:r>
        <w:separator/>
      </w:r>
    </w:p>
  </w:footnote>
  <w:footnote w:type="continuationSeparator" w:id="0">
    <w:p w14:paraId="2A379980" w14:textId="77777777" w:rsidR="00882C2D" w:rsidRDefault="00882C2D" w:rsidP="006A76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1BFC7" w14:textId="77777777" w:rsidR="00F8442A" w:rsidRDefault="00F844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5E63E" w14:textId="0FA4B1AD" w:rsidR="006A767C" w:rsidRDefault="006A767C">
    <w:pPr>
      <w:pStyle w:val="Header"/>
    </w:pPr>
    <w:r w:rsidRPr="006A767C">
      <w:rPr>
        <w:rFonts w:eastAsiaTheme="majorEastAsia"/>
        <w:b/>
        <w:bCs/>
        <w:color w:val="0F4761" w:themeColor="accent1" w:themeShade="BF"/>
        <w:kern w:val="0"/>
        <w:sz w:val="22"/>
        <w:szCs w:val="22"/>
        <w:lang w:val="en-US"/>
        <w14:ligatures w14:val="none"/>
      </w:rPr>
      <w:t>Policy to Practice: VCSE Anchor Model</w:t>
    </w:r>
    <w:r w:rsidR="006C4968">
      <w:rPr>
        <w:rFonts w:eastAsiaTheme="majorEastAsia"/>
        <w:b/>
        <w:bCs/>
        <w:color w:val="0F4761" w:themeColor="accent1" w:themeShade="BF"/>
        <w:kern w:val="0"/>
        <w:sz w:val="22"/>
        <w:szCs w:val="22"/>
        <w:lang w:val="en-US"/>
        <w14:ligatures w14:val="none"/>
      </w:rPr>
      <w:t xml:space="preserve"> Workshop Feedback </w:t>
    </w:r>
    <w:r w:rsidR="006C4968">
      <w:rPr>
        <w:rFonts w:eastAsiaTheme="majorEastAsia"/>
        <w:b/>
        <w:bCs/>
        <w:color w:val="0F4761" w:themeColor="accent1" w:themeShade="BF"/>
        <w:kern w:val="0"/>
        <w:sz w:val="22"/>
        <w:szCs w:val="22"/>
        <w:lang w:val="en-US"/>
        <w14:ligatures w14:val="none"/>
      </w:rPr>
      <w:tab/>
    </w:r>
    <w:r>
      <w:t xml:space="preserve"> </w:t>
    </w:r>
    <w:r>
      <w:rPr>
        <w:b/>
        <w:noProof/>
        <w:color w:val="1F4E79"/>
        <w:sz w:val="44"/>
      </w:rPr>
      <w:drawing>
        <wp:inline distT="0" distB="0" distL="0" distR="0" wp14:anchorId="0487A06A" wp14:editId="6221AECA">
          <wp:extent cx="1188197" cy="298993"/>
          <wp:effectExtent l="0" t="0" r="0" b="6350"/>
          <wp:docPr id="17682074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207459" name="Picture 1768207459"/>
                  <pic:cNvPicPr/>
                </pic:nvPicPr>
                <pic:blipFill>
                  <a:blip r:embed="rId1"/>
                  <a:stretch>
                    <a:fillRect/>
                  </a:stretch>
                </pic:blipFill>
                <pic:spPr>
                  <a:xfrm>
                    <a:off x="0" y="0"/>
                    <a:ext cx="1224641" cy="308164"/>
                  </a:xfrm>
                  <a:prstGeom prst="rect">
                    <a:avLst/>
                  </a:prstGeom>
                </pic:spPr>
              </pic:pic>
            </a:graphicData>
          </a:graphic>
        </wp:inline>
      </w:drawing>
    </w:r>
  </w:p>
  <w:p w14:paraId="2A1E948B" w14:textId="77777777" w:rsidR="006A767C" w:rsidRDefault="006A76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4E728" w14:textId="77777777" w:rsidR="00F8442A" w:rsidRDefault="00F844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61D3D"/>
    <w:multiLevelType w:val="multilevel"/>
    <w:tmpl w:val="B2F613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E062C0"/>
    <w:multiLevelType w:val="multilevel"/>
    <w:tmpl w:val="6FB4A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EB7EFB"/>
    <w:multiLevelType w:val="hybridMultilevel"/>
    <w:tmpl w:val="88989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2C26EE"/>
    <w:multiLevelType w:val="hybridMultilevel"/>
    <w:tmpl w:val="83FCE7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CF2E88"/>
    <w:multiLevelType w:val="hybridMultilevel"/>
    <w:tmpl w:val="B2444F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6700C27"/>
    <w:multiLevelType w:val="hybridMultilevel"/>
    <w:tmpl w:val="DE6EC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7763E37"/>
    <w:multiLevelType w:val="multilevel"/>
    <w:tmpl w:val="EFCAB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82A3CA6"/>
    <w:multiLevelType w:val="multilevel"/>
    <w:tmpl w:val="D3DC57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AE03CE1"/>
    <w:multiLevelType w:val="hybridMultilevel"/>
    <w:tmpl w:val="785A71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395A36"/>
    <w:multiLevelType w:val="multilevel"/>
    <w:tmpl w:val="03B80A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18B6E9D"/>
    <w:multiLevelType w:val="hybridMultilevel"/>
    <w:tmpl w:val="94AE6A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3C2658A"/>
    <w:multiLevelType w:val="multilevel"/>
    <w:tmpl w:val="4B183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5DA3312"/>
    <w:multiLevelType w:val="hybridMultilevel"/>
    <w:tmpl w:val="BC4C653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6A994040"/>
    <w:multiLevelType w:val="hybridMultilevel"/>
    <w:tmpl w:val="3F2CE5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29B6F25"/>
    <w:multiLevelType w:val="hybridMultilevel"/>
    <w:tmpl w:val="5BDEBB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A2541A8"/>
    <w:multiLevelType w:val="multilevel"/>
    <w:tmpl w:val="F9EC7D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09516920">
    <w:abstractNumId w:val="6"/>
  </w:num>
  <w:num w:numId="2" w16cid:durableId="42408186">
    <w:abstractNumId w:val="12"/>
  </w:num>
  <w:num w:numId="3" w16cid:durableId="1516572363">
    <w:abstractNumId w:val="4"/>
  </w:num>
  <w:num w:numId="4" w16cid:durableId="1744253177">
    <w:abstractNumId w:val="13"/>
  </w:num>
  <w:num w:numId="5" w16cid:durableId="943809160">
    <w:abstractNumId w:val="5"/>
  </w:num>
  <w:num w:numId="6" w16cid:durableId="1280062071">
    <w:abstractNumId w:val="8"/>
  </w:num>
  <w:num w:numId="7" w16cid:durableId="112091658">
    <w:abstractNumId w:val="10"/>
  </w:num>
  <w:num w:numId="8" w16cid:durableId="633868912">
    <w:abstractNumId w:val="15"/>
  </w:num>
  <w:num w:numId="9" w16cid:durableId="1835298520">
    <w:abstractNumId w:val="9"/>
  </w:num>
  <w:num w:numId="10" w16cid:durableId="230849689">
    <w:abstractNumId w:val="1"/>
  </w:num>
  <w:num w:numId="11" w16cid:durableId="292489209">
    <w:abstractNumId w:val="0"/>
  </w:num>
  <w:num w:numId="12" w16cid:durableId="1947494949">
    <w:abstractNumId w:val="11"/>
  </w:num>
  <w:num w:numId="13" w16cid:durableId="739598369">
    <w:abstractNumId w:val="7"/>
  </w:num>
  <w:num w:numId="14" w16cid:durableId="220674014">
    <w:abstractNumId w:val="2"/>
  </w:num>
  <w:num w:numId="15" w16cid:durableId="350885592">
    <w:abstractNumId w:val="3"/>
  </w:num>
  <w:num w:numId="16" w16cid:durableId="133899488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67C"/>
    <w:rsid w:val="00000A2A"/>
    <w:rsid w:val="00004009"/>
    <w:rsid w:val="0000669F"/>
    <w:rsid w:val="000227F8"/>
    <w:rsid w:val="00034698"/>
    <w:rsid w:val="00034F73"/>
    <w:rsid w:val="0003738F"/>
    <w:rsid w:val="0006037D"/>
    <w:rsid w:val="000607C0"/>
    <w:rsid w:val="00060D4F"/>
    <w:rsid w:val="00077738"/>
    <w:rsid w:val="0008110B"/>
    <w:rsid w:val="00082458"/>
    <w:rsid w:val="000856DC"/>
    <w:rsid w:val="00093D67"/>
    <w:rsid w:val="00095BBC"/>
    <w:rsid w:val="000A4D8D"/>
    <w:rsid w:val="000A67B0"/>
    <w:rsid w:val="000B5E37"/>
    <w:rsid w:val="000C34A2"/>
    <w:rsid w:val="000C3F93"/>
    <w:rsid w:val="000C7BDA"/>
    <w:rsid w:val="000D5303"/>
    <w:rsid w:val="000D5D79"/>
    <w:rsid w:val="000E43F6"/>
    <w:rsid w:val="000F405F"/>
    <w:rsid w:val="00103D8F"/>
    <w:rsid w:val="00113F15"/>
    <w:rsid w:val="00114DD3"/>
    <w:rsid w:val="00117B47"/>
    <w:rsid w:val="00122805"/>
    <w:rsid w:val="001273A0"/>
    <w:rsid w:val="00131077"/>
    <w:rsid w:val="00152FD8"/>
    <w:rsid w:val="00175E3C"/>
    <w:rsid w:val="001920BD"/>
    <w:rsid w:val="00192BBC"/>
    <w:rsid w:val="00195D9E"/>
    <w:rsid w:val="001C08AA"/>
    <w:rsid w:val="001C131E"/>
    <w:rsid w:val="001C3BD9"/>
    <w:rsid w:val="001F1D0E"/>
    <w:rsid w:val="001F61AD"/>
    <w:rsid w:val="00203382"/>
    <w:rsid w:val="00217ADF"/>
    <w:rsid w:val="00224C48"/>
    <w:rsid w:val="0023630B"/>
    <w:rsid w:val="0023713D"/>
    <w:rsid w:val="002371E7"/>
    <w:rsid w:val="00244FFE"/>
    <w:rsid w:val="00246ED1"/>
    <w:rsid w:val="00251E10"/>
    <w:rsid w:val="002537DB"/>
    <w:rsid w:val="002626A8"/>
    <w:rsid w:val="00273BCE"/>
    <w:rsid w:val="002749B8"/>
    <w:rsid w:val="00275B65"/>
    <w:rsid w:val="0028595C"/>
    <w:rsid w:val="00291CD3"/>
    <w:rsid w:val="00296AAA"/>
    <w:rsid w:val="002B1D16"/>
    <w:rsid w:val="002B2E25"/>
    <w:rsid w:val="002D2317"/>
    <w:rsid w:val="002D3E8B"/>
    <w:rsid w:val="002F6FD5"/>
    <w:rsid w:val="00300F8E"/>
    <w:rsid w:val="00310C28"/>
    <w:rsid w:val="00314890"/>
    <w:rsid w:val="003205B2"/>
    <w:rsid w:val="003267C0"/>
    <w:rsid w:val="00332A02"/>
    <w:rsid w:val="00336551"/>
    <w:rsid w:val="00337F97"/>
    <w:rsid w:val="00344FD9"/>
    <w:rsid w:val="003513AE"/>
    <w:rsid w:val="00360A97"/>
    <w:rsid w:val="00362F19"/>
    <w:rsid w:val="00364004"/>
    <w:rsid w:val="00364B47"/>
    <w:rsid w:val="00375D38"/>
    <w:rsid w:val="003820C7"/>
    <w:rsid w:val="00393208"/>
    <w:rsid w:val="00393CD9"/>
    <w:rsid w:val="003A4209"/>
    <w:rsid w:val="003C0169"/>
    <w:rsid w:val="003C31E2"/>
    <w:rsid w:val="003D4C0F"/>
    <w:rsid w:val="003E6D5C"/>
    <w:rsid w:val="003F1BE9"/>
    <w:rsid w:val="003F2C79"/>
    <w:rsid w:val="003F5736"/>
    <w:rsid w:val="003F7F94"/>
    <w:rsid w:val="00400F3F"/>
    <w:rsid w:val="004024DB"/>
    <w:rsid w:val="004024DE"/>
    <w:rsid w:val="00404FBD"/>
    <w:rsid w:val="004057F0"/>
    <w:rsid w:val="00405DA2"/>
    <w:rsid w:val="00416097"/>
    <w:rsid w:val="00417749"/>
    <w:rsid w:val="004357AF"/>
    <w:rsid w:val="00442B9E"/>
    <w:rsid w:val="00442F50"/>
    <w:rsid w:val="004446C7"/>
    <w:rsid w:val="004509AD"/>
    <w:rsid w:val="004543E3"/>
    <w:rsid w:val="00464EE0"/>
    <w:rsid w:val="00466F2B"/>
    <w:rsid w:val="004A1A46"/>
    <w:rsid w:val="004A2DF6"/>
    <w:rsid w:val="004B4622"/>
    <w:rsid w:val="004D034C"/>
    <w:rsid w:val="004D1291"/>
    <w:rsid w:val="004E38C8"/>
    <w:rsid w:val="005058C7"/>
    <w:rsid w:val="00510BD7"/>
    <w:rsid w:val="00510EBD"/>
    <w:rsid w:val="0051234E"/>
    <w:rsid w:val="00512615"/>
    <w:rsid w:val="0051400F"/>
    <w:rsid w:val="00521EDA"/>
    <w:rsid w:val="00526E80"/>
    <w:rsid w:val="0052782C"/>
    <w:rsid w:val="00534C1C"/>
    <w:rsid w:val="0053687D"/>
    <w:rsid w:val="00536B53"/>
    <w:rsid w:val="0054015E"/>
    <w:rsid w:val="00561721"/>
    <w:rsid w:val="00587320"/>
    <w:rsid w:val="005874D4"/>
    <w:rsid w:val="00592A30"/>
    <w:rsid w:val="00593108"/>
    <w:rsid w:val="005A3A41"/>
    <w:rsid w:val="005A3B40"/>
    <w:rsid w:val="005A4061"/>
    <w:rsid w:val="005A469B"/>
    <w:rsid w:val="005B3A2A"/>
    <w:rsid w:val="005E1B46"/>
    <w:rsid w:val="005E725F"/>
    <w:rsid w:val="0060512B"/>
    <w:rsid w:val="00606076"/>
    <w:rsid w:val="0060666E"/>
    <w:rsid w:val="0061379D"/>
    <w:rsid w:val="00613997"/>
    <w:rsid w:val="00616B21"/>
    <w:rsid w:val="0062019A"/>
    <w:rsid w:val="00620671"/>
    <w:rsid w:val="00622248"/>
    <w:rsid w:val="0062342A"/>
    <w:rsid w:val="006243AE"/>
    <w:rsid w:val="006263F2"/>
    <w:rsid w:val="00626C42"/>
    <w:rsid w:val="00634E3D"/>
    <w:rsid w:val="0064065C"/>
    <w:rsid w:val="006406D5"/>
    <w:rsid w:val="00644BB9"/>
    <w:rsid w:val="00645698"/>
    <w:rsid w:val="00646B6E"/>
    <w:rsid w:val="00653F72"/>
    <w:rsid w:val="00657344"/>
    <w:rsid w:val="006577F3"/>
    <w:rsid w:val="006666B8"/>
    <w:rsid w:val="006855A4"/>
    <w:rsid w:val="0068741D"/>
    <w:rsid w:val="0069306A"/>
    <w:rsid w:val="0069346D"/>
    <w:rsid w:val="006A7634"/>
    <w:rsid w:val="006A767C"/>
    <w:rsid w:val="006B2FE7"/>
    <w:rsid w:val="006B4AB8"/>
    <w:rsid w:val="006C4133"/>
    <w:rsid w:val="006C4968"/>
    <w:rsid w:val="006C6529"/>
    <w:rsid w:val="006C7BE7"/>
    <w:rsid w:val="006D6BA2"/>
    <w:rsid w:val="00704425"/>
    <w:rsid w:val="00706030"/>
    <w:rsid w:val="0071646E"/>
    <w:rsid w:val="00716D84"/>
    <w:rsid w:val="00720835"/>
    <w:rsid w:val="00720891"/>
    <w:rsid w:val="00722CA7"/>
    <w:rsid w:val="007263E3"/>
    <w:rsid w:val="00737F86"/>
    <w:rsid w:val="007438ED"/>
    <w:rsid w:val="00746DA9"/>
    <w:rsid w:val="00752772"/>
    <w:rsid w:val="0075527D"/>
    <w:rsid w:val="007644DD"/>
    <w:rsid w:val="007675A3"/>
    <w:rsid w:val="007709E1"/>
    <w:rsid w:val="00772818"/>
    <w:rsid w:val="007767CB"/>
    <w:rsid w:val="007921ED"/>
    <w:rsid w:val="007A1CD3"/>
    <w:rsid w:val="007A318F"/>
    <w:rsid w:val="007A7DE4"/>
    <w:rsid w:val="007B2872"/>
    <w:rsid w:val="007B5B5C"/>
    <w:rsid w:val="007C40FC"/>
    <w:rsid w:val="007D186D"/>
    <w:rsid w:val="00803FB8"/>
    <w:rsid w:val="0081404F"/>
    <w:rsid w:val="0081583E"/>
    <w:rsid w:val="00816AAC"/>
    <w:rsid w:val="008178A1"/>
    <w:rsid w:val="008267D5"/>
    <w:rsid w:val="00830FCE"/>
    <w:rsid w:val="00844A46"/>
    <w:rsid w:val="00847482"/>
    <w:rsid w:val="00850B9E"/>
    <w:rsid w:val="00854F4F"/>
    <w:rsid w:val="008635ED"/>
    <w:rsid w:val="00881B0D"/>
    <w:rsid w:val="00882C2D"/>
    <w:rsid w:val="00883E21"/>
    <w:rsid w:val="008861FA"/>
    <w:rsid w:val="008A05CB"/>
    <w:rsid w:val="008A4394"/>
    <w:rsid w:val="008B5296"/>
    <w:rsid w:val="008B5324"/>
    <w:rsid w:val="008C44E6"/>
    <w:rsid w:val="008E134A"/>
    <w:rsid w:val="008E5B7F"/>
    <w:rsid w:val="008F41B9"/>
    <w:rsid w:val="00906FEF"/>
    <w:rsid w:val="0091009F"/>
    <w:rsid w:val="00913B71"/>
    <w:rsid w:val="0091686E"/>
    <w:rsid w:val="00917898"/>
    <w:rsid w:val="009234D9"/>
    <w:rsid w:val="009237EC"/>
    <w:rsid w:val="00924ED3"/>
    <w:rsid w:val="0092729A"/>
    <w:rsid w:val="00941759"/>
    <w:rsid w:val="00943A16"/>
    <w:rsid w:val="00944CA0"/>
    <w:rsid w:val="00954AE4"/>
    <w:rsid w:val="009571C3"/>
    <w:rsid w:val="009669F9"/>
    <w:rsid w:val="009703A6"/>
    <w:rsid w:val="00982A33"/>
    <w:rsid w:val="00986676"/>
    <w:rsid w:val="009879E3"/>
    <w:rsid w:val="009B3241"/>
    <w:rsid w:val="009B348A"/>
    <w:rsid w:val="009B5925"/>
    <w:rsid w:val="009B7C09"/>
    <w:rsid w:val="009C1EA6"/>
    <w:rsid w:val="009C216B"/>
    <w:rsid w:val="009C5FFB"/>
    <w:rsid w:val="009D0129"/>
    <w:rsid w:val="009D2739"/>
    <w:rsid w:val="009E5747"/>
    <w:rsid w:val="009E7F5B"/>
    <w:rsid w:val="009F7FF3"/>
    <w:rsid w:val="00A00E0B"/>
    <w:rsid w:val="00A02240"/>
    <w:rsid w:val="00A0658B"/>
    <w:rsid w:val="00A17CB8"/>
    <w:rsid w:val="00A27BCF"/>
    <w:rsid w:val="00A31F53"/>
    <w:rsid w:val="00A33ECE"/>
    <w:rsid w:val="00A449DF"/>
    <w:rsid w:val="00A45C0C"/>
    <w:rsid w:val="00A474A9"/>
    <w:rsid w:val="00A50E0E"/>
    <w:rsid w:val="00A5554E"/>
    <w:rsid w:val="00A6480F"/>
    <w:rsid w:val="00A8207C"/>
    <w:rsid w:val="00A868E3"/>
    <w:rsid w:val="00A871F0"/>
    <w:rsid w:val="00A90EFC"/>
    <w:rsid w:val="00AA0D44"/>
    <w:rsid w:val="00AA2292"/>
    <w:rsid w:val="00AB33A1"/>
    <w:rsid w:val="00AB6B65"/>
    <w:rsid w:val="00AC7101"/>
    <w:rsid w:val="00AD1B63"/>
    <w:rsid w:val="00AD2C09"/>
    <w:rsid w:val="00AD484B"/>
    <w:rsid w:val="00AE6BB1"/>
    <w:rsid w:val="00B108DB"/>
    <w:rsid w:val="00B11760"/>
    <w:rsid w:val="00B13C61"/>
    <w:rsid w:val="00B14387"/>
    <w:rsid w:val="00B22FBC"/>
    <w:rsid w:val="00B233D6"/>
    <w:rsid w:val="00B41336"/>
    <w:rsid w:val="00B424C1"/>
    <w:rsid w:val="00B42FAD"/>
    <w:rsid w:val="00B52D79"/>
    <w:rsid w:val="00B569CD"/>
    <w:rsid w:val="00B61615"/>
    <w:rsid w:val="00B66EFA"/>
    <w:rsid w:val="00B67D92"/>
    <w:rsid w:val="00B70FA6"/>
    <w:rsid w:val="00B90515"/>
    <w:rsid w:val="00B97C67"/>
    <w:rsid w:val="00BB149A"/>
    <w:rsid w:val="00BC65C2"/>
    <w:rsid w:val="00BD7E94"/>
    <w:rsid w:val="00BE47C6"/>
    <w:rsid w:val="00BF4FE8"/>
    <w:rsid w:val="00BF7B0F"/>
    <w:rsid w:val="00C21C84"/>
    <w:rsid w:val="00C33C3E"/>
    <w:rsid w:val="00C3510D"/>
    <w:rsid w:val="00C35FDE"/>
    <w:rsid w:val="00C365AA"/>
    <w:rsid w:val="00C368AF"/>
    <w:rsid w:val="00C50453"/>
    <w:rsid w:val="00C53304"/>
    <w:rsid w:val="00C55775"/>
    <w:rsid w:val="00C72B2F"/>
    <w:rsid w:val="00C73DC9"/>
    <w:rsid w:val="00C81CFB"/>
    <w:rsid w:val="00C972C1"/>
    <w:rsid w:val="00CA06B6"/>
    <w:rsid w:val="00CA36F0"/>
    <w:rsid w:val="00CB0A2B"/>
    <w:rsid w:val="00CB35C0"/>
    <w:rsid w:val="00CC19A3"/>
    <w:rsid w:val="00CC6095"/>
    <w:rsid w:val="00D069A7"/>
    <w:rsid w:val="00D0716E"/>
    <w:rsid w:val="00D125D8"/>
    <w:rsid w:val="00D14028"/>
    <w:rsid w:val="00D15DA6"/>
    <w:rsid w:val="00D17D35"/>
    <w:rsid w:val="00D219B2"/>
    <w:rsid w:val="00D2227C"/>
    <w:rsid w:val="00D2354D"/>
    <w:rsid w:val="00D25812"/>
    <w:rsid w:val="00D42458"/>
    <w:rsid w:val="00D43B4E"/>
    <w:rsid w:val="00D739D7"/>
    <w:rsid w:val="00D84327"/>
    <w:rsid w:val="00D851F6"/>
    <w:rsid w:val="00D85ABB"/>
    <w:rsid w:val="00D91A95"/>
    <w:rsid w:val="00D94C31"/>
    <w:rsid w:val="00DB70C8"/>
    <w:rsid w:val="00DC6A1A"/>
    <w:rsid w:val="00DD0AD1"/>
    <w:rsid w:val="00DE2E58"/>
    <w:rsid w:val="00DF1983"/>
    <w:rsid w:val="00E00118"/>
    <w:rsid w:val="00E11E50"/>
    <w:rsid w:val="00E1656F"/>
    <w:rsid w:val="00E21DB6"/>
    <w:rsid w:val="00E3554F"/>
    <w:rsid w:val="00E36146"/>
    <w:rsid w:val="00E41D94"/>
    <w:rsid w:val="00E42CB8"/>
    <w:rsid w:val="00E44D27"/>
    <w:rsid w:val="00E52B81"/>
    <w:rsid w:val="00E52C61"/>
    <w:rsid w:val="00E55BBB"/>
    <w:rsid w:val="00E56717"/>
    <w:rsid w:val="00E56ED4"/>
    <w:rsid w:val="00E60B7D"/>
    <w:rsid w:val="00E67D46"/>
    <w:rsid w:val="00E74372"/>
    <w:rsid w:val="00EA645F"/>
    <w:rsid w:val="00EA7132"/>
    <w:rsid w:val="00EB7BD5"/>
    <w:rsid w:val="00EC533C"/>
    <w:rsid w:val="00EC5343"/>
    <w:rsid w:val="00ED28C8"/>
    <w:rsid w:val="00ED62B4"/>
    <w:rsid w:val="00EF215D"/>
    <w:rsid w:val="00EF25D5"/>
    <w:rsid w:val="00EF7609"/>
    <w:rsid w:val="00F00BE0"/>
    <w:rsid w:val="00F0513C"/>
    <w:rsid w:val="00F2332A"/>
    <w:rsid w:val="00F3499A"/>
    <w:rsid w:val="00F37254"/>
    <w:rsid w:val="00F372FF"/>
    <w:rsid w:val="00F403B5"/>
    <w:rsid w:val="00F415D3"/>
    <w:rsid w:val="00F52280"/>
    <w:rsid w:val="00F56142"/>
    <w:rsid w:val="00F56CAE"/>
    <w:rsid w:val="00F6155C"/>
    <w:rsid w:val="00F70D2F"/>
    <w:rsid w:val="00F7209A"/>
    <w:rsid w:val="00F72F51"/>
    <w:rsid w:val="00F8442A"/>
    <w:rsid w:val="00F91FDD"/>
    <w:rsid w:val="00FA0607"/>
    <w:rsid w:val="00FA118D"/>
    <w:rsid w:val="00FB12D5"/>
    <w:rsid w:val="00FC39F9"/>
    <w:rsid w:val="00FC4537"/>
    <w:rsid w:val="00FC5806"/>
    <w:rsid w:val="00FD3570"/>
    <w:rsid w:val="00FF2850"/>
    <w:rsid w:val="00FF325A"/>
    <w:rsid w:val="00FF7196"/>
    <w:rsid w:val="0527C054"/>
    <w:rsid w:val="13AC0357"/>
    <w:rsid w:val="167E1FCC"/>
    <w:rsid w:val="172F6906"/>
    <w:rsid w:val="1798D0F6"/>
    <w:rsid w:val="1A627E4B"/>
    <w:rsid w:val="1AC0B1B6"/>
    <w:rsid w:val="1BE4713C"/>
    <w:rsid w:val="21EAF9DC"/>
    <w:rsid w:val="2868A637"/>
    <w:rsid w:val="28F00A43"/>
    <w:rsid w:val="2A16792B"/>
    <w:rsid w:val="2F5CA190"/>
    <w:rsid w:val="35572827"/>
    <w:rsid w:val="368578A8"/>
    <w:rsid w:val="36BB8234"/>
    <w:rsid w:val="381A4E2D"/>
    <w:rsid w:val="3EE4F3FB"/>
    <w:rsid w:val="42417961"/>
    <w:rsid w:val="42EF3461"/>
    <w:rsid w:val="47FA4191"/>
    <w:rsid w:val="48BFC9F3"/>
    <w:rsid w:val="4B34DD67"/>
    <w:rsid w:val="4C9D11A4"/>
    <w:rsid w:val="4DF8067D"/>
    <w:rsid w:val="53CEAD68"/>
    <w:rsid w:val="5B3A2EAB"/>
    <w:rsid w:val="62235C29"/>
    <w:rsid w:val="65206F5C"/>
    <w:rsid w:val="6B4D7D54"/>
    <w:rsid w:val="6BAE93DB"/>
    <w:rsid w:val="6E205DAE"/>
    <w:rsid w:val="722F252B"/>
    <w:rsid w:val="760DEB4D"/>
    <w:rsid w:val="7C61CC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62CF4"/>
  <w15:chartTrackingRefBased/>
  <w15:docId w15:val="{D7F3F369-43E9-43C3-B845-AB752FFB8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A767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6A767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6A767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A767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A767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A767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767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767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767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767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A767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A767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A767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A767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A76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767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76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767C"/>
    <w:rPr>
      <w:rFonts w:eastAsiaTheme="majorEastAsia" w:cstheme="majorBidi"/>
      <w:color w:val="272727" w:themeColor="text1" w:themeTint="D8"/>
    </w:rPr>
  </w:style>
  <w:style w:type="paragraph" w:styleId="Title">
    <w:name w:val="Title"/>
    <w:basedOn w:val="Normal"/>
    <w:next w:val="Normal"/>
    <w:link w:val="TitleChar"/>
    <w:uiPriority w:val="10"/>
    <w:qFormat/>
    <w:rsid w:val="006A767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76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76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76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767C"/>
    <w:pPr>
      <w:spacing w:before="160"/>
      <w:jc w:val="center"/>
    </w:pPr>
    <w:rPr>
      <w:i/>
      <w:iCs/>
      <w:color w:val="404040" w:themeColor="text1" w:themeTint="BF"/>
    </w:rPr>
  </w:style>
  <w:style w:type="character" w:customStyle="1" w:styleId="QuoteChar">
    <w:name w:val="Quote Char"/>
    <w:basedOn w:val="DefaultParagraphFont"/>
    <w:link w:val="Quote"/>
    <w:uiPriority w:val="29"/>
    <w:rsid w:val="006A767C"/>
    <w:rPr>
      <w:i/>
      <w:iCs/>
      <w:color w:val="404040" w:themeColor="text1" w:themeTint="BF"/>
    </w:rPr>
  </w:style>
  <w:style w:type="paragraph" w:styleId="ListParagraph">
    <w:name w:val="List Paragraph"/>
    <w:basedOn w:val="Normal"/>
    <w:uiPriority w:val="34"/>
    <w:qFormat/>
    <w:rsid w:val="006A767C"/>
    <w:pPr>
      <w:ind w:left="720"/>
      <w:contextualSpacing/>
    </w:pPr>
  </w:style>
  <w:style w:type="character" w:styleId="IntenseEmphasis">
    <w:name w:val="Intense Emphasis"/>
    <w:basedOn w:val="DefaultParagraphFont"/>
    <w:uiPriority w:val="21"/>
    <w:qFormat/>
    <w:rsid w:val="006A767C"/>
    <w:rPr>
      <w:i/>
      <w:iCs/>
      <w:color w:val="0F4761" w:themeColor="accent1" w:themeShade="BF"/>
    </w:rPr>
  </w:style>
  <w:style w:type="paragraph" w:styleId="IntenseQuote">
    <w:name w:val="Intense Quote"/>
    <w:basedOn w:val="Normal"/>
    <w:next w:val="Normal"/>
    <w:link w:val="IntenseQuoteChar"/>
    <w:uiPriority w:val="30"/>
    <w:qFormat/>
    <w:rsid w:val="006A767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A767C"/>
    <w:rPr>
      <w:i/>
      <w:iCs/>
      <w:color w:val="0F4761" w:themeColor="accent1" w:themeShade="BF"/>
    </w:rPr>
  </w:style>
  <w:style w:type="character" w:styleId="IntenseReference">
    <w:name w:val="Intense Reference"/>
    <w:basedOn w:val="DefaultParagraphFont"/>
    <w:uiPriority w:val="32"/>
    <w:qFormat/>
    <w:rsid w:val="006A767C"/>
    <w:rPr>
      <w:b/>
      <w:bCs/>
      <w:smallCaps/>
      <w:color w:val="0F4761" w:themeColor="accent1" w:themeShade="BF"/>
      <w:spacing w:val="5"/>
    </w:rPr>
  </w:style>
  <w:style w:type="paragraph" w:styleId="Header">
    <w:name w:val="header"/>
    <w:basedOn w:val="Normal"/>
    <w:link w:val="HeaderChar"/>
    <w:uiPriority w:val="99"/>
    <w:unhideWhenUsed/>
    <w:rsid w:val="006A767C"/>
    <w:pPr>
      <w:tabs>
        <w:tab w:val="center" w:pos="4513"/>
        <w:tab w:val="right" w:pos="9026"/>
      </w:tabs>
      <w:spacing w:after="0" w:line="240" w:lineRule="auto"/>
    </w:pPr>
  </w:style>
  <w:style w:type="character" w:customStyle="1" w:styleId="HeaderChar">
    <w:name w:val="Header Char"/>
    <w:basedOn w:val="DefaultParagraphFont"/>
    <w:link w:val="Header"/>
    <w:uiPriority w:val="99"/>
    <w:rsid w:val="006A767C"/>
  </w:style>
  <w:style w:type="paragraph" w:styleId="Footer">
    <w:name w:val="footer"/>
    <w:basedOn w:val="Normal"/>
    <w:link w:val="FooterChar"/>
    <w:uiPriority w:val="99"/>
    <w:unhideWhenUsed/>
    <w:rsid w:val="006A767C"/>
    <w:pPr>
      <w:tabs>
        <w:tab w:val="center" w:pos="4513"/>
        <w:tab w:val="right" w:pos="9026"/>
      </w:tabs>
      <w:spacing w:after="0" w:line="240" w:lineRule="auto"/>
    </w:pPr>
  </w:style>
  <w:style w:type="character" w:customStyle="1" w:styleId="FooterChar">
    <w:name w:val="Footer Char"/>
    <w:basedOn w:val="DefaultParagraphFont"/>
    <w:link w:val="Footer"/>
    <w:uiPriority w:val="99"/>
    <w:rsid w:val="006A767C"/>
  </w:style>
  <w:style w:type="table" w:styleId="GridTable4-Accent1">
    <w:name w:val="Grid Table 4 Accent 1"/>
    <w:basedOn w:val="TableNormal"/>
    <w:uiPriority w:val="49"/>
    <w:rsid w:val="006A767C"/>
    <w:pPr>
      <w:spacing w:after="0" w:line="240" w:lineRule="auto"/>
    </w:pPr>
    <w:rPr>
      <w:rFonts w:eastAsiaTheme="minorEastAsia"/>
      <w:kern w:val="0"/>
      <w:sz w:val="22"/>
      <w:szCs w:val="22"/>
      <w:lang w:val="en-US"/>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character" w:customStyle="1" w:styleId="normaltextrun">
    <w:name w:val="normaltextrun"/>
    <w:basedOn w:val="DefaultParagraphFont"/>
    <w:rsid w:val="003C0169"/>
  </w:style>
  <w:style w:type="character" w:customStyle="1" w:styleId="eop">
    <w:name w:val="eop"/>
    <w:basedOn w:val="DefaultParagraphFont"/>
    <w:rsid w:val="003C0169"/>
  </w:style>
  <w:style w:type="character" w:styleId="CommentReference">
    <w:name w:val="annotation reference"/>
    <w:basedOn w:val="DefaultParagraphFont"/>
    <w:uiPriority w:val="99"/>
    <w:semiHidden/>
    <w:unhideWhenUsed/>
    <w:rsid w:val="00337F97"/>
    <w:rPr>
      <w:sz w:val="16"/>
      <w:szCs w:val="16"/>
    </w:rPr>
  </w:style>
  <w:style w:type="paragraph" w:styleId="CommentText">
    <w:name w:val="annotation text"/>
    <w:basedOn w:val="Normal"/>
    <w:link w:val="CommentTextChar"/>
    <w:uiPriority w:val="99"/>
    <w:unhideWhenUsed/>
    <w:rsid w:val="00337F97"/>
    <w:pPr>
      <w:spacing w:line="240" w:lineRule="auto"/>
    </w:pPr>
    <w:rPr>
      <w:sz w:val="20"/>
      <w:szCs w:val="20"/>
    </w:rPr>
  </w:style>
  <w:style w:type="character" w:customStyle="1" w:styleId="CommentTextChar">
    <w:name w:val="Comment Text Char"/>
    <w:basedOn w:val="DefaultParagraphFont"/>
    <w:link w:val="CommentText"/>
    <w:uiPriority w:val="99"/>
    <w:rsid w:val="00337F97"/>
    <w:rPr>
      <w:sz w:val="20"/>
      <w:szCs w:val="20"/>
    </w:rPr>
  </w:style>
  <w:style w:type="paragraph" w:styleId="CommentSubject">
    <w:name w:val="annotation subject"/>
    <w:basedOn w:val="CommentText"/>
    <w:next w:val="CommentText"/>
    <w:link w:val="CommentSubjectChar"/>
    <w:uiPriority w:val="99"/>
    <w:semiHidden/>
    <w:unhideWhenUsed/>
    <w:rsid w:val="00337F97"/>
    <w:rPr>
      <w:b/>
      <w:bCs/>
    </w:rPr>
  </w:style>
  <w:style w:type="character" w:customStyle="1" w:styleId="CommentSubjectChar">
    <w:name w:val="Comment Subject Char"/>
    <w:basedOn w:val="CommentTextChar"/>
    <w:link w:val="CommentSubject"/>
    <w:uiPriority w:val="99"/>
    <w:semiHidden/>
    <w:rsid w:val="00337F97"/>
    <w:rPr>
      <w:b/>
      <w:bCs/>
      <w:sz w:val="20"/>
      <w:szCs w:val="20"/>
    </w:rPr>
  </w:style>
  <w:style w:type="character" w:styleId="BookTitle">
    <w:name w:val="Book Title"/>
    <w:basedOn w:val="DefaultParagraphFont"/>
    <w:uiPriority w:val="33"/>
    <w:qFormat/>
    <w:rsid w:val="00F8442A"/>
    <w:rPr>
      <w:b/>
      <w:bCs/>
      <w:i/>
      <w:iCs/>
      <w:spacing w:val="5"/>
    </w:rPr>
  </w:style>
  <w:style w:type="paragraph" w:styleId="Caption">
    <w:name w:val="caption"/>
    <w:basedOn w:val="Normal"/>
    <w:next w:val="Normal"/>
    <w:uiPriority w:val="35"/>
    <w:semiHidden/>
    <w:unhideWhenUsed/>
    <w:qFormat/>
    <w:rsid w:val="00F8442A"/>
    <w:pPr>
      <w:spacing w:after="200" w:line="240" w:lineRule="auto"/>
    </w:pPr>
    <w:rPr>
      <w:i/>
      <w:iCs/>
      <w:color w:val="0E2841" w:themeColor="text2"/>
      <w:sz w:val="18"/>
      <w:szCs w:val="18"/>
    </w:rPr>
  </w:style>
  <w:style w:type="character" w:styleId="Emphasis">
    <w:name w:val="Emphasis"/>
    <w:basedOn w:val="DefaultParagraphFont"/>
    <w:uiPriority w:val="20"/>
    <w:qFormat/>
    <w:rsid w:val="00F8442A"/>
    <w:rPr>
      <w:i/>
      <w:iCs/>
    </w:rPr>
  </w:style>
  <w:style w:type="paragraph" w:styleId="NoSpacing">
    <w:name w:val="No Spacing"/>
    <w:uiPriority w:val="1"/>
    <w:qFormat/>
    <w:rsid w:val="00F8442A"/>
    <w:pPr>
      <w:spacing w:after="0" w:line="240" w:lineRule="auto"/>
    </w:pPr>
  </w:style>
  <w:style w:type="character" w:styleId="Strong">
    <w:name w:val="Strong"/>
    <w:basedOn w:val="DefaultParagraphFont"/>
    <w:uiPriority w:val="22"/>
    <w:qFormat/>
    <w:rsid w:val="00F8442A"/>
    <w:rPr>
      <w:b/>
      <w:bCs/>
    </w:rPr>
  </w:style>
  <w:style w:type="character" w:styleId="SubtleEmphasis">
    <w:name w:val="Subtle Emphasis"/>
    <w:basedOn w:val="DefaultParagraphFont"/>
    <w:uiPriority w:val="19"/>
    <w:qFormat/>
    <w:rsid w:val="00F8442A"/>
    <w:rPr>
      <w:i/>
      <w:iCs/>
      <w:color w:val="404040" w:themeColor="text1" w:themeTint="BF"/>
    </w:rPr>
  </w:style>
  <w:style w:type="character" w:styleId="SubtleReference">
    <w:name w:val="Subtle Reference"/>
    <w:basedOn w:val="DefaultParagraphFont"/>
    <w:uiPriority w:val="31"/>
    <w:qFormat/>
    <w:rsid w:val="00F8442A"/>
    <w:rPr>
      <w:smallCaps/>
      <w:color w:val="5A5A5A" w:themeColor="text1" w:themeTint="A5"/>
    </w:rPr>
  </w:style>
  <w:style w:type="paragraph" w:styleId="TOCHeading">
    <w:name w:val="TOC Heading"/>
    <w:basedOn w:val="Heading1"/>
    <w:next w:val="Normal"/>
    <w:uiPriority w:val="39"/>
    <w:semiHidden/>
    <w:unhideWhenUsed/>
    <w:qFormat/>
    <w:rsid w:val="00F8442A"/>
    <w:pPr>
      <w:spacing w:before="240" w:after="0"/>
      <w:outlineLvl w:val="9"/>
    </w:pPr>
    <w:rPr>
      <w:sz w:val="32"/>
      <w:szCs w:val="32"/>
    </w:rPr>
  </w:style>
  <w:style w:type="paragraph" w:styleId="NormalWeb">
    <w:name w:val="Normal (Web)"/>
    <w:basedOn w:val="Normal"/>
    <w:uiPriority w:val="99"/>
    <w:semiHidden/>
    <w:unhideWhenUsed/>
    <w:rsid w:val="00EF7609"/>
    <w:pPr>
      <w:spacing w:before="100" w:beforeAutospacing="1" w:after="100" w:afterAutospacing="1" w:line="240" w:lineRule="auto"/>
    </w:pPr>
    <w:rPr>
      <w:rFonts w:ascii="Times New Roman" w:hAnsi="Times New Roman"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84826b-7353-4215-9cbe-a499127d84ed">
      <Terms xmlns="http://schemas.microsoft.com/office/infopath/2007/PartnerControls"/>
    </lcf76f155ced4ddcb4097134ff3c332f>
    <TaxCatchAll xmlns="8c0f612a-290c-404b-bcbd-3771e14ad732"/>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58E75DDBEE13B4389C6CEBD7DEBCBB6" ma:contentTypeVersion="14" ma:contentTypeDescription="Create a new document." ma:contentTypeScope="" ma:versionID="a80c3b97c0c1fe4e2f81a323de2bbe2f">
  <xsd:schema xmlns:xsd="http://www.w3.org/2001/XMLSchema" xmlns:xs="http://www.w3.org/2001/XMLSchema" xmlns:p="http://schemas.microsoft.com/office/2006/metadata/properties" xmlns:ns2="2f84826b-7353-4215-9cbe-a499127d84ed" xmlns:ns3="8c0f612a-290c-404b-bcbd-3771e14ad732" targetNamespace="http://schemas.microsoft.com/office/2006/metadata/properties" ma:root="true" ma:fieldsID="4d4d0e5cae1e843001d3b10e3cd29aba" ns2:_="" ns3:_="">
    <xsd:import namespace="2f84826b-7353-4215-9cbe-a499127d84ed"/>
    <xsd:import namespace="8c0f612a-290c-404b-bcbd-3771e14ad73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84826b-7353-4215-9cbe-a499127d84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1bf2bdb-7ebc-4f38-9d7b-024a2b106e8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0f612a-290c-404b-bcbd-3771e14ad73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ba2939da-cc71-4692-b166-2b785f525ba8}" ma:internalName="TaxCatchAll" ma:showField="CatchAllData" ma:web="8c0f612a-290c-404b-bcbd-3771e14ad7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7CD48E-3451-4E67-BC84-9C2E3E4642C5}">
  <ds:schemaRefs>
    <ds:schemaRef ds:uri="http://schemas.microsoft.com/office/2006/metadata/properties"/>
    <ds:schemaRef ds:uri="http://schemas.microsoft.com/office/infopath/2007/PartnerControls"/>
    <ds:schemaRef ds:uri="2f84826b-7353-4215-9cbe-a499127d84ed"/>
    <ds:schemaRef ds:uri="8c0f612a-290c-404b-bcbd-3771e14ad732"/>
  </ds:schemaRefs>
</ds:datastoreItem>
</file>

<file path=customXml/itemProps2.xml><?xml version="1.0" encoding="utf-8"?>
<ds:datastoreItem xmlns:ds="http://schemas.openxmlformats.org/officeDocument/2006/customXml" ds:itemID="{701578E3-6959-4AB3-B046-CCE7D5693F53}">
  <ds:schemaRefs>
    <ds:schemaRef ds:uri="http://schemas.microsoft.com/sharepoint/v3/contenttype/forms"/>
  </ds:schemaRefs>
</ds:datastoreItem>
</file>

<file path=customXml/itemProps3.xml><?xml version="1.0" encoding="utf-8"?>
<ds:datastoreItem xmlns:ds="http://schemas.openxmlformats.org/officeDocument/2006/customXml" ds:itemID="{4A99B04D-D0B4-45E7-82D0-53B22B6437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84826b-7353-4215-9cbe-a499127d84ed"/>
    <ds:schemaRef ds:uri="8c0f612a-290c-404b-bcbd-3771e14ad7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3280</Words>
  <Characters>18700</Characters>
  <Application>Microsoft Office Word</Application>
  <DocSecurity>0</DocSecurity>
  <Lines>155</Lines>
  <Paragraphs>43</Paragraphs>
  <ScaleCrop>false</ScaleCrop>
  <Company/>
  <LinksUpToDate>false</LinksUpToDate>
  <CharactersWithSpaces>21937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Gillian Lewis</dc:creator>
  <cp:keywords/>
  <dc:description/>
  <cp:lastModifiedBy>Gillian Lewis</cp:lastModifiedBy>
  <cp:revision>2</cp:revision>
  <dcterms:created xsi:type="dcterms:W3CDTF">2026-08-16T14:25:00Z</dcterms:created>
  <dcterms:modified xsi:type="dcterms:W3CDTF">2026-08-16T14:25:00Z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0x010100958E75DDBEE13B4389C6CEBD7DEBCBB6</vt:lpwstr>
  </property>
  <property fmtid="{D5CDD505-2E9C-101B-9397-08002B2CF9AE}" pid="3" name="MediaServiceImageTags">
    <vt:lpwstr/>
  </property>
  <property fmtid="{D5CDD505-2E9C-101B-9397-08002B2CF9AE}" pid="4" name="docLang">
    <vt:lpwstr>en</vt:lpwstr>
  </property>
</Properties>
</file>